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C202" w14:textId="15CAEB93" w:rsidR="006248E3" w:rsidRDefault="006248E3" w:rsidP="006248E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BARS Chart of Accounts Update - GAAP Governments</w:t>
      </w:r>
    </w:p>
    <w:p w14:paraId="24BC311C" w14:textId="77777777" w:rsidR="006248E3" w:rsidRDefault="006248E3" w:rsidP="008573D8">
      <w:pPr>
        <w:spacing w:after="0" w:line="240" w:lineRule="auto"/>
        <w:rPr>
          <w:rFonts w:ascii="Times New Roman" w:hAnsi="Times New Roman" w:cs="Times New Roman"/>
          <w:sz w:val="20"/>
          <w:szCs w:val="20"/>
        </w:rPr>
      </w:pPr>
    </w:p>
    <w:p w14:paraId="2360A6EC" w14:textId="61FB6C15" w:rsidR="008573D8" w:rsidRDefault="006248E3" w:rsidP="008573D8">
      <w:pPr>
        <w:spacing w:after="0" w:line="240" w:lineRule="auto"/>
        <w:rPr>
          <w:rFonts w:ascii="Times New Roman" w:hAnsi="Times New Roman" w:cs="Times New Roman"/>
          <w:sz w:val="20"/>
          <w:szCs w:val="20"/>
        </w:rPr>
      </w:pPr>
      <w:r>
        <w:rPr>
          <w:rFonts w:ascii="Times New Roman" w:hAnsi="Times New Roman" w:cs="Times New Roman"/>
          <w:sz w:val="20"/>
          <w:szCs w:val="20"/>
        </w:rPr>
        <w:t>Effective for reporting for the fiscal year ending December 31, 2015 or later, there will be some revisions to the BARS chart of accounts.  These will primarily impact only the GAAP reporting local governments.  The changes include additional accounts that will be required for GAAP reporting local governments to submit in their Schedule 01.</w:t>
      </w:r>
    </w:p>
    <w:p w14:paraId="056E4AAF" w14:textId="77777777" w:rsidR="006248E3" w:rsidRPr="008573D8" w:rsidRDefault="006248E3" w:rsidP="008573D8">
      <w:pPr>
        <w:spacing w:after="0" w:line="240" w:lineRule="auto"/>
        <w:rPr>
          <w:rFonts w:ascii="Times New Roman" w:hAnsi="Times New Roman" w:cs="Times New Roman"/>
          <w:sz w:val="20"/>
          <w:szCs w:val="20"/>
        </w:rPr>
      </w:pPr>
    </w:p>
    <w:p w14:paraId="4DF070E5" w14:textId="77777777" w:rsidR="008573D8" w:rsidRPr="008573D8" w:rsidRDefault="008573D8" w:rsidP="008573D8">
      <w:pPr>
        <w:spacing w:after="0" w:line="240" w:lineRule="auto"/>
        <w:rPr>
          <w:rFonts w:ascii="Times New Roman" w:hAnsi="Times New Roman" w:cs="Times New Roman"/>
          <w:sz w:val="20"/>
          <w:szCs w:val="20"/>
        </w:rPr>
      </w:pPr>
      <w:r w:rsidRPr="008573D8">
        <w:rPr>
          <w:rFonts w:ascii="Times New Roman" w:hAnsi="Times New Roman" w:cs="Times New Roman"/>
          <w:sz w:val="20"/>
          <w:szCs w:val="20"/>
        </w:rPr>
        <w:t xml:space="preserve">Currently Schedule 01, which is a tool to collect revenue/expense data, focuses only on </w:t>
      </w:r>
      <w:r w:rsidRPr="008573D8">
        <w:rPr>
          <w:rFonts w:ascii="Times New Roman" w:hAnsi="Times New Roman" w:cs="Times New Roman"/>
          <w:sz w:val="20"/>
          <w:szCs w:val="20"/>
          <w:u w:val="single"/>
        </w:rPr>
        <w:t>financial</w:t>
      </w:r>
      <w:r w:rsidRPr="008573D8">
        <w:rPr>
          <w:rFonts w:ascii="Times New Roman" w:hAnsi="Times New Roman" w:cs="Times New Roman"/>
          <w:sz w:val="20"/>
          <w:szCs w:val="20"/>
        </w:rPr>
        <w:t xml:space="preserve"> resources.  The nonfinancial transactions (depreciation, amortization, etc.) were excluded which some GAAP reporting governments found inefficient since the Schedule 01 would not easily tie to their accounting records and it required some adjustments.  By adding these accounts to the Schedule 01, the updated Chart of Accounts will make the reporting easier and will ensure better quality data in the Local Government Finance Reporting System (LGFRS).</w:t>
      </w:r>
    </w:p>
    <w:p w14:paraId="1C27CDC5" w14:textId="77777777" w:rsidR="008573D8" w:rsidRPr="008573D8" w:rsidRDefault="008573D8" w:rsidP="008573D8">
      <w:pPr>
        <w:spacing w:after="0" w:line="240" w:lineRule="auto"/>
        <w:rPr>
          <w:rFonts w:ascii="Times New Roman" w:hAnsi="Times New Roman" w:cs="Times New Roman"/>
          <w:sz w:val="20"/>
          <w:szCs w:val="20"/>
        </w:rPr>
      </w:pPr>
    </w:p>
    <w:p w14:paraId="59234C28" w14:textId="47D62206" w:rsidR="001D72D8" w:rsidRPr="008573D8" w:rsidRDefault="008573D8" w:rsidP="008573D8">
      <w:pPr>
        <w:spacing w:after="0" w:line="240" w:lineRule="auto"/>
        <w:jc w:val="both"/>
        <w:rPr>
          <w:rFonts w:ascii="Times New Roman" w:hAnsi="Times New Roman" w:cs="Times New Roman"/>
          <w:sz w:val="20"/>
          <w:szCs w:val="20"/>
        </w:rPr>
      </w:pPr>
      <w:r w:rsidRPr="008573D8">
        <w:rPr>
          <w:rFonts w:ascii="Times New Roman" w:hAnsi="Times New Roman" w:cs="Times New Roman"/>
          <w:sz w:val="20"/>
          <w:szCs w:val="20"/>
        </w:rPr>
        <w:t>The LGFRS is widely used by legislators, state agencies, bond rating companies, banks, creditors, media, etc.  It is imperative the information is reliable and dependable since decisions are made based on the data.  The State Auditor’s Office also plans to utilize the data extensively in the audits.  Furthermore, the Local Government Performance Center is working on expanding the Financial Intelligence Tool (FIT) to include GAAP governments, which was another reason to not only revise revenues/expense accounts, but also to add some accounts from the statements of net position.</w:t>
      </w:r>
    </w:p>
    <w:p w14:paraId="0D3CA178" w14:textId="77777777" w:rsidR="008573D8" w:rsidRDefault="008573D8" w:rsidP="00335C33">
      <w:pPr>
        <w:spacing w:after="0" w:line="240" w:lineRule="auto"/>
        <w:jc w:val="both"/>
        <w:rPr>
          <w:rFonts w:ascii="Times New Roman" w:hAnsi="Times New Roman" w:cs="Times New Roman"/>
          <w:b/>
          <w:sz w:val="20"/>
          <w:szCs w:val="20"/>
        </w:rPr>
      </w:pPr>
    </w:p>
    <w:p w14:paraId="59234C29" w14:textId="77777777" w:rsidR="0092220E" w:rsidRPr="008573D8" w:rsidRDefault="0092220E" w:rsidP="00335C33">
      <w:pPr>
        <w:spacing w:after="0" w:line="240" w:lineRule="auto"/>
        <w:jc w:val="both"/>
        <w:rPr>
          <w:rFonts w:ascii="Times New Roman" w:hAnsi="Times New Roman" w:cs="Times New Roman"/>
          <w:b/>
          <w:sz w:val="20"/>
          <w:szCs w:val="20"/>
        </w:rPr>
      </w:pPr>
      <w:r w:rsidRPr="008573D8">
        <w:rPr>
          <w:rFonts w:ascii="Times New Roman" w:hAnsi="Times New Roman" w:cs="Times New Roman"/>
          <w:b/>
          <w:sz w:val="20"/>
          <w:szCs w:val="20"/>
        </w:rPr>
        <w:t>Changes to Accommodate Full Accrual Accounting:</w:t>
      </w:r>
    </w:p>
    <w:p w14:paraId="59234C2A" w14:textId="77777777" w:rsidR="00D060C6" w:rsidRPr="008573D8" w:rsidRDefault="00D060C6" w:rsidP="00335C33">
      <w:pPr>
        <w:spacing w:after="0" w:line="240" w:lineRule="auto"/>
        <w:jc w:val="both"/>
        <w:rPr>
          <w:rFonts w:ascii="Times New Roman" w:hAnsi="Times New Roman" w:cs="Times New Roman"/>
          <w:sz w:val="20"/>
          <w:szCs w:val="20"/>
        </w:rPr>
      </w:pPr>
    </w:p>
    <w:p w14:paraId="59234C2B" w14:textId="77777777" w:rsidR="00335C33" w:rsidRPr="008573D8" w:rsidRDefault="00335C33" w:rsidP="00335C33">
      <w:pPr>
        <w:spacing w:after="0" w:line="240" w:lineRule="auto"/>
        <w:jc w:val="both"/>
        <w:rPr>
          <w:rFonts w:ascii="Times New Roman" w:hAnsi="Times New Roman" w:cs="Times New Roman"/>
          <w:sz w:val="20"/>
          <w:szCs w:val="20"/>
        </w:rPr>
      </w:pPr>
      <w:r w:rsidRPr="008573D8">
        <w:rPr>
          <w:rFonts w:ascii="Times New Roman" w:hAnsi="Times New Roman" w:cs="Times New Roman"/>
          <w:sz w:val="20"/>
          <w:szCs w:val="20"/>
        </w:rPr>
        <w:t xml:space="preserve">The following matrix </w:t>
      </w:r>
      <w:r w:rsidR="0092220E" w:rsidRPr="008573D8">
        <w:rPr>
          <w:rFonts w:ascii="Times New Roman" w:hAnsi="Times New Roman" w:cs="Times New Roman"/>
          <w:sz w:val="20"/>
          <w:szCs w:val="20"/>
        </w:rPr>
        <w:t>describes</w:t>
      </w:r>
      <w:r w:rsidRPr="008573D8">
        <w:rPr>
          <w:rFonts w:ascii="Times New Roman" w:hAnsi="Times New Roman" w:cs="Times New Roman"/>
          <w:sz w:val="20"/>
          <w:szCs w:val="20"/>
        </w:rPr>
        <w:t xml:space="preserve"> the changes</w:t>
      </w:r>
      <w:r w:rsidR="009E5709" w:rsidRPr="008573D8">
        <w:rPr>
          <w:rFonts w:ascii="Times New Roman" w:hAnsi="Times New Roman" w:cs="Times New Roman"/>
          <w:sz w:val="20"/>
          <w:szCs w:val="20"/>
        </w:rPr>
        <w:t>.</w:t>
      </w:r>
      <w:r w:rsidRPr="008573D8">
        <w:rPr>
          <w:rFonts w:ascii="Times New Roman" w:hAnsi="Times New Roman" w:cs="Times New Roman"/>
          <w:sz w:val="20"/>
          <w:szCs w:val="20"/>
        </w:rPr>
        <w:t xml:space="preserve">  </w:t>
      </w:r>
      <w:r w:rsidR="0092220E" w:rsidRPr="008573D8">
        <w:rPr>
          <w:rFonts w:ascii="Times New Roman" w:hAnsi="Times New Roman" w:cs="Times New Roman"/>
          <w:sz w:val="20"/>
          <w:szCs w:val="20"/>
        </w:rPr>
        <w:t>S</w:t>
      </w:r>
      <w:r w:rsidRPr="008573D8">
        <w:rPr>
          <w:rFonts w:ascii="Times New Roman" w:hAnsi="Times New Roman" w:cs="Times New Roman"/>
          <w:sz w:val="20"/>
          <w:szCs w:val="20"/>
        </w:rPr>
        <w:t>haded accounts are new</w:t>
      </w:r>
      <w:r w:rsidR="0092220E" w:rsidRPr="008573D8">
        <w:rPr>
          <w:rFonts w:ascii="Times New Roman" w:hAnsi="Times New Roman" w:cs="Times New Roman"/>
          <w:sz w:val="20"/>
          <w:szCs w:val="20"/>
        </w:rPr>
        <w:t xml:space="preserve"> and </w:t>
      </w:r>
      <w:r w:rsidR="00065E29" w:rsidRPr="008573D8">
        <w:rPr>
          <w:rFonts w:ascii="Times New Roman" w:hAnsi="Times New Roman" w:cs="Times New Roman"/>
          <w:sz w:val="20"/>
          <w:szCs w:val="20"/>
        </w:rPr>
        <w:t xml:space="preserve">shaded areas in the </w:t>
      </w:r>
      <w:r w:rsidRPr="008573D8">
        <w:rPr>
          <w:rFonts w:ascii="Times New Roman" w:hAnsi="Times New Roman" w:cs="Times New Roman"/>
          <w:sz w:val="20"/>
          <w:szCs w:val="20"/>
        </w:rPr>
        <w:t>remaining accounts</w:t>
      </w:r>
      <w:r w:rsidR="00065E29" w:rsidRPr="008573D8">
        <w:rPr>
          <w:rFonts w:ascii="Times New Roman" w:hAnsi="Times New Roman" w:cs="Times New Roman"/>
          <w:sz w:val="20"/>
          <w:szCs w:val="20"/>
        </w:rPr>
        <w:t xml:space="preserve"> </w:t>
      </w:r>
      <w:r w:rsidR="0092220E" w:rsidRPr="008573D8">
        <w:rPr>
          <w:rFonts w:ascii="Times New Roman" w:hAnsi="Times New Roman" w:cs="Times New Roman"/>
          <w:sz w:val="20"/>
          <w:szCs w:val="20"/>
        </w:rPr>
        <w:t>are</w:t>
      </w:r>
      <w:r w:rsidR="00065E29" w:rsidRPr="008573D8">
        <w:rPr>
          <w:rFonts w:ascii="Times New Roman" w:hAnsi="Times New Roman" w:cs="Times New Roman"/>
          <w:sz w:val="20"/>
          <w:szCs w:val="20"/>
        </w:rPr>
        <w:t xml:space="preserve"> the revisions to</w:t>
      </w:r>
      <w:r w:rsidRPr="008573D8">
        <w:rPr>
          <w:rFonts w:ascii="Times New Roman" w:hAnsi="Times New Roman" w:cs="Times New Roman"/>
          <w:sz w:val="20"/>
          <w:szCs w:val="20"/>
        </w:rPr>
        <w:t xml:space="preserve"> definitions.</w:t>
      </w:r>
    </w:p>
    <w:p w14:paraId="59234C2C" w14:textId="77777777" w:rsidR="00065E29" w:rsidRPr="008573D8" w:rsidRDefault="00065E29" w:rsidP="00335C33">
      <w:pPr>
        <w:spacing w:after="0" w:line="240" w:lineRule="auto"/>
        <w:jc w:val="both"/>
        <w:rPr>
          <w:rFonts w:ascii="Times New Roman" w:hAnsi="Times New Roman" w:cs="Times New Roman"/>
          <w:sz w:val="20"/>
          <w:szCs w:val="20"/>
        </w:rPr>
      </w:pPr>
    </w:p>
    <w:tbl>
      <w:tblPr>
        <w:tblStyle w:val="TableGrid"/>
        <w:tblW w:w="9738" w:type="dxa"/>
        <w:tblLayout w:type="fixed"/>
        <w:tblLook w:val="04A0" w:firstRow="1" w:lastRow="0" w:firstColumn="1" w:lastColumn="0" w:noHBand="0" w:noVBand="1"/>
      </w:tblPr>
      <w:tblGrid>
        <w:gridCol w:w="1098"/>
        <w:gridCol w:w="1620"/>
        <w:gridCol w:w="1080"/>
        <w:gridCol w:w="2160"/>
        <w:gridCol w:w="3780"/>
      </w:tblGrid>
      <w:tr w:rsidR="00986348" w:rsidRPr="008573D8" w14:paraId="59234C32" w14:textId="77777777" w:rsidTr="001D72D8">
        <w:tc>
          <w:tcPr>
            <w:tcW w:w="1098" w:type="dxa"/>
          </w:tcPr>
          <w:p w14:paraId="59234C2D" w14:textId="77777777" w:rsidR="00986348" w:rsidRPr="008573D8" w:rsidRDefault="00986348" w:rsidP="00C23E23">
            <w:pPr>
              <w:jc w:val="center"/>
              <w:rPr>
                <w:rFonts w:ascii="Times New Roman" w:hAnsi="Times New Roman" w:cs="Times New Roman"/>
                <w:b/>
                <w:sz w:val="20"/>
                <w:szCs w:val="20"/>
              </w:rPr>
            </w:pPr>
            <w:r w:rsidRPr="008573D8">
              <w:rPr>
                <w:rFonts w:ascii="Times New Roman" w:hAnsi="Times New Roman" w:cs="Times New Roman"/>
                <w:b/>
                <w:sz w:val="20"/>
                <w:szCs w:val="20"/>
              </w:rPr>
              <w:t>Old</w:t>
            </w:r>
          </w:p>
        </w:tc>
        <w:tc>
          <w:tcPr>
            <w:tcW w:w="1620" w:type="dxa"/>
          </w:tcPr>
          <w:p w14:paraId="59234C2E" w14:textId="77777777" w:rsidR="00986348" w:rsidRPr="008573D8" w:rsidRDefault="00986348" w:rsidP="00C23E23">
            <w:pPr>
              <w:jc w:val="center"/>
              <w:rPr>
                <w:rFonts w:ascii="Times New Roman" w:hAnsi="Times New Roman" w:cs="Times New Roman"/>
                <w:b/>
                <w:sz w:val="20"/>
                <w:szCs w:val="20"/>
              </w:rPr>
            </w:pPr>
            <w:r w:rsidRPr="008573D8">
              <w:rPr>
                <w:rFonts w:ascii="Times New Roman" w:hAnsi="Times New Roman" w:cs="Times New Roman"/>
                <w:b/>
                <w:sz w:val="20"/>
                <w:szCs w:val="20"/>
              </w:rPr>
              <w:t>Old Title</w:t>
            </w:r>
          </w:p>
        </w:tc>
        <w:tc>
          <w:tcPr>
            <w:tcW w:w="1080" w:type="dxa"/>
          </w:tcPr>
          <w:p w14:paraId="59234C2F" w14:textId="77777777" w:rsidR="00986348" w:rsidRPr="008573D8" w:rsidRDefault="00986348" w:rsidP="00C23E23">
            <w:pPr>
              <w:jc w:val="center"/>
              <w:rPr>
                <w:rFonts w:ascii="Times New Roman" w:hAnsi="Times New Roman" w:cs="Times New Roman"/>
                <w:b/>
                <w:sz w:val="20"/>
                <w:szCs w:val="20"/>
              </w:rPr>
            </w:pPr>
            <w:r w:rsidRPr="008573D8">
              <w:rPr>
                <w:rFonts w:ascii="Times New Roman" w:hAnsi="Times New Roman" w:cs="Times New Roman"/>
                <w:b/>
                <w:sz w:val="20"/>
                <w:szCs w:val="20"/>
              </w:rPr>
              <w:t>New</w:t>
            </w:r>
          </w:p>
        </w:tc>
        <w:tc>
          <w:tcPr>
            <w:tcW w:w="2160" w:type="dxa"/>
          </w:tcPr>
          <w:p w14:paraId="59234C30" w14:textId="77777777" w:rsidR="00986348" w:rsidRPr="008573D8" w:rsidRDefault="00986348" w:rsidP="00C23E23">
            <w:pPr>
              <w:jc w:val="center"/>
              <w:rPr>
                <w:rFonts w:ascii="Times New Roman" w:hAnsi="Times New Roman" w:cs="Times New Roman"/>
                <w:b/>
                <w:sz w:val="20"/>
                <w:szCs w:val="20"/>
              </w:rPr>
            </w:pPr>
            <w:r w:rsidRPr="008573D8">
              <w:rPr>
                <w:rFonts w:ascii="Times New Roman" w:hAnsi="Times New Roman" w:cs="Times New Roman"/>
                <w:b/>
                <w:sz w:val="20"/>
                <w:szCs w:val="20"/>
              </w:rPr>
              <w:t>New Title</w:t>
            </w:r>
          </w:p>
        </w:tc>
        <w:tc>
          <w:tcPr>
            <w:tcW w:w="3780" w:type="dxa"/>
          </w:tcPr>
          <w:p w14:paraId="59234C31" w14:textId="77777777" w:rsidR="00986348" w:rsidRPr="008573D8" w:rsidRDefault="00986348" w:rsidP="00C23E23">
            <w:pPr>
              <w:jc w:val="center"/>
              <w:rPr>
                <w:rFonts w:ascii="Times New Roman" w:hAnsi="Times New Roman" w:cs="Times New Roman"/>
                <w:b/>
                <w:sz w:val="20"/>
                <w:szCs w:val="20"/>
              </w:rPr>
            </w:pPr>
            <w:r w:rsidRPr="008573D8">
              <w:rPr>
                <w:rFonts w:ascii="Times New Roman" w:hAnsi="Times New Roman" w:cs="Times New Roman"/>
                <w:b/>
                <w:sz w:val="20"/>
                <w:szCs w:val="20"/>
              </w:rPr>
              <w:t>Description</w:t>
            </w:r>
          </w:p>
        </w:tc>
      </w:tr>
      <w:tr w:rsidR="00986348" w:rsidRPr="008573D8" w14:paraId="59234C38" w14:textId="77777777" w:rsidTr="001D72D8">
        <w:tc>
          <w:tcPr>
            <w:tcW w:w="1098" w:type="dxa"/>
          </w:tcPr>
          <w:p w14:paraId="59234C33"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36990</w:t>
            </w:r>
          </w:p>
        </w:tc>
        <w:tc>
          <w:tcPr>
            <w:tcW w:w="1620" w:type="dxa"/>
          </w:tcPr>
          <w:p w14:paraId="59234C34"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Other</w:t>
            </w:r>
          </w:p>
        </w:tc>
        <w:tc>
          <w:tcPr>
            <w:tcW w:w="1080" w:type="dxa"/>
          </w:tcPr>
          <w:p w14:paraId="59234C35"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36991</w:t>
            </w:r>
          </w:p>
        </w:tc>
        <w:tc>
          <w:tcPr>
            <w:tcW w:w="2160" w:type="dxa"/>
          </w:tcPr>
          <w:p w14:paraId="59234C36"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Other</w:t>
            </w:r>
          </w:p>
        </w:tc>
        <w:tc>
          <w:tcPr>
            <w:tcW w:w="3780" w:type="dxa"/>
          </w:tcPr>
          <w:p w14:paraId="59234C37" w14:textId="77777777" w:rsidR="00986348" w:rsidRPr="008573D8" w:rsidRDefault="00986348" w:rsidP="00D8603D">
            <w:pPr>
              <w:rPr>
                <w:rFonts w:ascii="Times New Roman" w:hAnsi="Times New Roman" w:cs="Times New Roman"/>
                <w:sz w:val="20"/>
                <w:szCs w:val="20"/>
              </w:rPr>
            </w:pPr>
            <w:r w:rsidRPr="008573D8">
              <w:rPr>
                <w:rFonts w:ascii="Times New Roman" w:hAnsi="Times New Roman" w:cs="Times New Roman"/>
                <w:sz w:val="20"/>
                <w:szCs w:val="20"/>
              </w:rPr>
              <w:t xml:space="preserve">This account should be used only for immaterial miscellaneous revenues.  It is required that the governments code all revenues to appropriate available category in this chart of accounts.  Include amortization of any charges not specified in other accounts.  </w:t>
            </w:r>
            <w:r w:rsidRPr="008573D8">
              <w:rPr>
                <w:rFonts w:ascii="Times New Roman" w:hAnsi="Times New Roman" w:cs="Times New Roman"/>
                <w:sz w:val="20"/>
                <w:szCs w:val="20"/>
                <w:shd w:val="clear" w:color="auto" w:fill="DDD9C3" w:themeFill="background2" w:themeFillShade="E6"/>
              </w:rPr>
              <w:t xml:space="preserve">Proprietary GAAP funds should use this account only for other </w:t>
            </w:r>
            <w:r w:rsidRPr="008573D8">
              <w:rPr>
                <w:rFonts w:ascii="Times New Roman" w:hAnsi="Times New Roman" w:cs="Times New Roman"/>
                <w:b/>
                <w:sz w:val="20"/>
                <w:szCs w:val="20"/>
                <w:shd w:val="clear" w:color="auto" w:fill="DDD9C3" w:themeFill="background2" w:themeFillShade="E6"/>
              </w:rPr>
              <w:t>operating</w:t>
            </w:r>
            <w:r w:rsidRPr="008573D8">
              <w:rPr>
                <w:rFonts w:ascii="Times New Roman" w:hAnsi="Times New Roman" w:cs="Times New Roman"/>
                <w:sz w:val="20"/>
                <w:szCs w:val="20"/>
                <w:shd w:val="clear" w:color="auto" w:fill="DDD9C3" w:themeFill="background2" w:themeFillShade="E6"/>
              </w:rPr>
              <w:t xml:space="preserve"> revenues</w:t>
            </w:r>
            <w:r w:rsidR="00D8603D" w:rsidRPr="008573D8">
              <w:rPr>
                <w:rFonts w:ascii="Times New Roman" w:hAnsi="Times New Roman" w:cs="Times New Roman"/>
                <w:sz w:val="20"/>
                <w:szCs w:val="20"/>
                <w:shd w:val="clear" w:color="auto" w:fill="DDD9C3" w:themeFill="background2" w:themeFillShade="E6"/>
              </w:rPr>
              <w:t xml:space="preserve"> and use 36992</w:t>
            </w:r>
            <w:r w:rsidRPr="008573D8">
              <w:rPr>
                <w:rFonts w:ascii="Times New Roman" w:hAnsi="Times New Roman" w:cs="Times New Roman"/>
                <w:sz w:val="20"/>
                <w:szCs w:val="20"/>
                <w:shd w:val="clear" w:color="auto" w:fill="DDD9C3" w:themeFill="background2" w:themeFillShade="E6"/>
              </w:rPr>
              <w:t xml:space="preserve"> for nonoperating miscellaneous revenues.</w:t>
            </w:r>
          </w:p>
        </w:tc>
      </w:tr>
      <w:tr w:rsidR="00986348" w:rsidRPr="008573D8" w14:paraId="59234C3E" w14:textId="77777777" w:rsidTr="001D72D8">
        <w:tc>
          <w:tcPr>
            <w:tcW w:w="1098" w:type="dxa"/>
            <w:shd w:val="clear" w:color="auto" w:fill="DDD9C3" w:themeFill="background2" w:themeFillShade="E6"/>
          </w:tcPr>
          <w:p w14:paraId="59234C39" w14:textId="77777777" w:rsidR="00986348" w:rsidRPr="008573D8" w:rsidRDefault="00986348" w:rsidP="00C23E23">
            <w:pPr>
              <w:rPr>
                <w:rFonts w:ascii="Times New Roman" w:hAnsi="Times New Roman" w:cs="Times New Roman"/>
                <w:sz w:val="20"/>
                <w:szCs w:val="20"/>
              </w:rPr>
            </w:pPr>
          </w:p>
        </w:tc>
        <w:tc>
          <w:tcPr>
            <w:tcW w:w="1620" w:type="dxa"/>
            <w:shd w:val="clear" w:color="auto" w:fill="DDD9C3" w:themeFill="background2" w:themeFillShade="E6"/>
          </w:tcPr>
          <w:p w14:paraId="59234C3A" w14:textId="77777777" w:rsidR="00986348" w:rsidRPr="008573D8" w:rsidRDefault="00986348" w:rsidP="00C23E23">
            <w:pPr>
              <w:rPr>
                <w:rFonts w:ascii="Times New Roman" w:hAnsi="Times New Roman" w:cs="Times New Roman"/>
                <w:sz w:val="20"/>
                <w:szCs w:val="20"/>
              </w:rPr>
            </w:pPr>
          </w:p>
        </w:tc>
        <w:tc>
          <w:tcPr>
            <w:tcW w:w="1080" w:type="dxa"/>
            <w:shd w:val="clear" w:color="auto" w:fill="DDD9C3" w:themeFill="background2" w:themeFillShade="E6"/>
          </w:tcPr>
          <w:p w14:paraId="59234C3B"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36992</w:t>
            </w:r>
          </w:p>
        </w:tc>
        <w:tc>
          <w:tcPr>
            <w:tcW w:w="2160" w:type="dxa"/>
            <w:shd w:val="clear" w:color="auto" w:fill="DDD9C3" w:themeFill="background2" w:themeFillShade="E6"/>
          </w:tcPr>
          <w:p w14:paraId="59234C3C"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Other Nonoperating</w:t>
            </w:r>
          </w:p>
        </w:tc>
        <w:tc>
          <w:tcPr>
            <w:tcW w:w="3780" w:type="dxa"/>
            <w:shd w:val="clear" w:color="auto" w:fill="DDD9C3" w:themeFill="background2" w:themeFillShade="E6"/>
          </w:tcPr>
          <w:p w14:paraId="59234C3D" w14:textId="77777777" w:rsidR="00986348" w:rsidRPr="008573D8" w:rsidRDefault="00986348" w:rsidP="00D8603D">
            <w:pPr>
              <w:rPr>
                <w:rFonts w:ascii="Times New Roman" w:hAnsi="Times New Roman" w:cs="Times New Roman"/>
                <w:sz w:val="20"/>
                <w:szCs w:val="20"/>
              </w:rPr>
            </w:pPr>
            <w:r w:rsidRPr="008573D8">
              <w:rPr>
                <w:rFonts w:ascii="Times New Roman" w:hAnsi="Times New Roman" w:cs="Times New Roman"/>
                <w:sz w:val="20"/>
                <w:szCs w:val="20"/>
              </w:rPr>
              <w:t>(Proprietary GAAP funds only)  This account should be used only for immaterial nonoperating miscellaneous revenues</w:t>
            </w:r>
            <w:r w:rsidR="00D060C6" w:rsidRPr="008573D8">
              <w:rPr>
                <w:rFonts w:ascii="Times New Roman" w:hAnsi="Times New Roman" w:cs="Times New Roman"/>
                <w:sz w:val="20"/>
                <w:szCs w:val="20"/>
              </w:rPr>
              <w:t>.</w:t>
            </w:r>
          </w:p>
        </w:tc>
      </w:tr>
      <w:tr w:rsidR="00986348" w:rsidRPr="008573D8" w14:paraId="59234C44" w14:textId="77777777" w:rsidTr="001D72D8">
        <w:tc>
          <w:tcPr>
            <w:tcW w:w="1098" w:type="dxa"/>
          </w:tcPr>
          <w:p w14:paraId="59234C3F"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36110</w:t>
            </w:r>
          </w:p>
        </w:tc>
        <w:tc>
          <w:tcPr>
            <w:tcW w:w="1620" w:type="dxa"/>
          </w:tcPr>
          <w:p w14:paraId="59234C40"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Investment Interest</w:t>
            </w:r>
          </w:p>
        </w:tc>
        <w:tc>
          <w:tcPr>
            <w:tcW w:w="1080" w:type="dxa"/>
          </w:tcPr>
          <w:p w14:paraId="59234C41" w14:textId="77777777" w:rsidR="00986348" w:rsidRPr="008573D8" w:rsidRDefault="00986348" w:rsidP="00C23E23">
            <w:pPr>
              <w:rPr>
                <w:rFonts w:ascii="Times New Roman" w:hAnsi="Times New Roman" w:cs="Times New Roman"/>
                <w:sz w:val="20"/>
                <w:szCs w:val="20"/>
              </w:rPr>
            </w:pPr>
          </w:p>
        </w:tc>
        <w:tc>
          <w:tcPr>
            <w:tcW w:w="2160" w:type="dxa"/>
          </w:tcPr>
          <w:p w14:paraId="59234C42"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Investment Earnings</w:t>
            </w:r>
          </w:p>
        </w:tc>
        <w:tc>
          <w:tcPr>
            <w:tcW w:w="3780" w:type="dxa"/>
          </w:tcPr>
          <w:p w14:paraId="59234C43" w14:textId="77777777" w:rsidR="00986348" w:rsidRPr="008573D8" w:rsidRDefault="00986348" w:rsidP="00D8603D">
            <w:pPr>
              <w:rPr>
                <w:rFonts w:ascii="Times New Roman" w:hAnsi="Times New Roman" w:cs="Times New Roman"/>
                <w:sz w:val="20"/>
                <w:szCs w:val="20"/>
              </w:rPr>
            </w:pPr>
            <w:r w:rsidRPr="008573D8">
              <w:rPr>
                <w:rFonts w:ascii="Times New Roman" w:hAnsi="Times New Roman" w:cs="Times New Roman"/>
                <w:sz w:val="20"/>
                <w:szCs w:val="20"/>
              </w:rPr>
              <w:t>Income from interest payments, dividends and other earnings collected on held or sold investments</w:t>
            </w:r>
            <w:r w:rsidR="00D8603D" w:rsidRPr="008573D8">
              <w:rPr>
                <w:rFonts w:ascii="Times New Roman" w:hAnsi="Times New Roman" w:cs="Times New Roman"/>
                <w:sz w:val="20"/>
                <w:szCs w:val="20"/>
              </w:rPr>
              <w:t xml:space="preserve"> reported at cost or amortized cost</w:t>
            </w:r>
            <w:r w:rsidRPr="008573D8">
              <w:rPr>
                <w:rFonts w:ascii="Times New Roman" w:hAnsi="Times New Roman" w:cs="Times New Roman"/>
                <w:sz w:val="20"/>
                <w:szCs w:val="20"/>
              </w:rPr>
              <w:t xml:space="preserve">.  </w:t>
            </w:r>
            <w:r w:rsidR="00D8603D" w:rsidRPr="008573D8">
              <w:rPr>
                <w:rFonts w:ascii="Times New Roman" w:hAnsi="Times New Roman" w:cs="Times New Roman"/>
                <w:sz w:val="20"/>
                <w:szCs w:val="20"/>
                <w:shd w:val="clear" w:color="auto" w:fill="DDD9C3" w:themeFill="background2" w:themeFillShade="E6"/>
              </w:rPr>
              <w:t>I</w:t>
            </w:r>
            <w:r w:rsidRPr="008573D8">
              <w:rPr>
                <w:rFonts w:ascii="Times New Roman" w:hAnsi="Times New Roman" w:cs="Times New Roman"/>
                <w:sz w:val="20"/>
                <w:szCs w:val="20"/>
                <w:shd w:val="clear" w:color="auto" w:fill="DDD9C3" w:themeFill="background2" w:themeFillShade="E6"/>
              </w:rPr>
              <w:t>nclude net increase (decrease) in the fair value of investments</w:t>
            </w:r>
            <w:r w:rsidR="00D8603D" w:rsidRPr="008573D8">
              <w:rPr>
                <w:rFonts w:ascii="Times New Roman" w:hAnsi="Times New Roman" w:cs="Times New Roman"/>
                <w:sz w:val="20"/>
                <w:szCs w:val="20"/>
                <w:shd w:val="clear" w:color="auto" w:fill="DDD9C3" w:themeFill="background2" w:themeFillShade="E6"/>
              </w:rPr>
              <w:t xml:space="preserve"> for any investments reported at fair value</w:t>
            </w:r>
            <w:r w:rsidRPr="008573D8">
              <w:rPr>
                <w:rFonts w:ascii="Times New Roman" w:hAnsi="Times New Roman" w:cs="Times New Roman"/>
                <w:sz w:val="20"/>
                <w:szCs w:val="20"/>
                <w:shd w:val="clear" w:color="auto" w:fill="DDD9C3" w:themeFill="background2" w:themeFillShade="E6"/>
              </w:rPr>
              <w:t>.</w:t>
            </w:r>
          </w:p>
        </w:tc>
      </w:tr>
      <w:tr w:rsidR="00986348" w:rsidRPr="008573D8" w14:paraId="59234C4A" w14:textId="77777777" w:rsidTr="001D72D8">
        <w:tc>
          <w:tcPr>
            <w:tcW w:w="1098" w:type="dxa"/>
            <w:shd w:val="clear" w:color="auto" w:fill="DDD9C3" w:themeFill="background2" w:themeFillShade="E6"/>
          </w:tcPr>
          <w:p w14:paraId="59234C45" w14:textId="77777777" w:rsidR="00986348" w:rsidRPr="008573D8" w:rsidRDefault="00986348" w:rsidP="00C23E23">
            <w:pPr>
              <w:rPr>
                <w:rFonts w:ascii="Times New Roman" w:hAnsi="Times New Roman" w:cs="Times New Roman"/>
                <w:sz w:val="20"/>
                <w:szCs w:val="20"/>
              </w:rPr>
            </w:pPr>
          </w:p>
        </w:tc>
        <w:tc>
          <w:tcPr>
            <w:tcW w:w="1620" w:type="dxa"/>
            <w:shd w:val="clear" w:color="auto" w:fill="DDD9C3" w:themeFill="background2" w:themeFillShade="E6"/>
          </w:tcPr>
          <w:p w14:paraId="59234C46" w14:textId="77777777" w:rsidR="00986348" w:rsidRPr="008573D8" w:rsidRDefault="00986348" w:rsidP="00C23E23">
            <w:pPr>
              <w:rPr>
                <w:rFonts w:ascii="Times New Roman" w:hAnsi="Times New Roman" w:cs="Times New Roman"/>
                <w:sz w:val="20"/>
                <w:szCs w:val="20"/>
              </w:rPr>
            </w:pPr>
          </w:p>
        </w:tc>
        <w:tc>
          <w:tcPr>
            <w:tcW w:w="1080" w:type="dxa"/>
            <w:shd w:val="clear" w:color="auto" w:fill="DDD9C3" w:themeFill="background2" w:themeFillShade="E6"/>
          </w:tcPr>
          <w:p w14:paraId="59234C47"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501PP00</w:t>
            </w:r>
          </w:p>
        </w:tc>
        <w:tc>
          <w:tcPr>
            <w:tcW w:w="2160" w:type="dxa"/>
            <w:shd w:val="clear" w:color="auto" w:fill="DDD9C3" w:themeFill="background2" w:themeFillShade="E6"/>
          </w:tcPr>
          <w:p w14:paraId="59234C48"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Depreciation, Depletion, Amortization</w:t>
            </w:r>
          </w:p>
        </w:tc>
        <w:tc>
          <w:tcPr>
            <w:tcW w:w="3780" w:type="dxa"/>
            <w:shd w:val="clear" w:color="auto" w:fill="DDD9C3" w:themeFill="background2" w:themeFillShade="E6"/>
          </w:tcPr>
          <w:p w14:paraId="59234C49" w14:textId="77777777" w:rsidR="00986348" w:rsidRPr="008573D8" w:rsidRDefault="00D8603D" w:rsidP="00F5791B">
            <w:pPr>
              <w:rPr>
                <w:rFonts w:ascii="Times New Roman" w:hAnsi="Times New Roman" w:cs="Times New Roman"/>
                <w:sz w:val="20"/>
                <w:szCs w:val="20"/>
              </w:rPr>
            </w:pPr>
            <w:r w:rsidRPr="008573D8">
              <w:rPr>
                <w:rFonts w:ascii="Times New Roman" w:hAnsi="Times New Roman" w:cs="Times New Roman"/>
                <w:sz w:val="20"/>
                <w:szCs w:val="20"/>
              </w:rPr>
              <w:t xml:space="preserve">(Proprietary GAAP funds only) </w:t>
            </w:r>
            <w:r w:rsidR="00986348" w:rsidRPr="008573D8">
              <w:rPr>
                <w:rFonts w:ascii="Times New Roman" w:hAnsi="Times New Roman" w:cs="Times New Roman"/>
                <w:sz w:val="20"/>
                <w:szCs w:val="20"/>
              </w:rPr>
              <w:t xml:space="preserve">Allocated </w:t>
            </w:r>
            <w:r w:rsidR="00F5791B" w:rsidRPr="008573D8">
              <w:rPr>
                <w:rFonts w:ascii="Times New Roman" w:hAnsi="Times New Roman" w:cs="Times New Roman"/>
                <w:sz w:val="20"/>
                <w:szCs w:val="20"/>
              </w:rPr>
              <w:t xml:space="preserve">portion </w:t>
            </w:r>
            <w:r w:rsidRPr="008573D8">
              <w:rPr>
                <w:rFonts w:ascii="Times New Roman" w:hAnsi="Times New Roman" w:cs="Times New Roman"/>
                <w:sz w:val="20"/>
                <w:szCs w:val="20"/>
              </w:rPr>
              <w:t xml:space="preserve">of </w:t>
            </w:r>
            <w:r w:rsidR="00F5791B" w:rsidRPr="008573D8">
              <w:rPr>
                <w:rFonts w:ascii="Times New Roman" w:hAnsi="Times New Roman" w:cs="Times New Roman"/>
                <w:sz w:val="20"/>
                <w:szCs w:val="20"/>
              </w:rPr>
              <w:t xml:space="preserve">the </w:t>
            </w:r>
            <w:r w:rsidRPr="008573D8">
              <w:rPr>
                <w:rFonts w:ascii="Times New Roman" w:hAnsi="Times New Roman" w:cs="Times New Roman"/>
                <w:sz w:val="20"/>
                <w:szCs w:val="20"/>
              </w:rPr>
              <w:t>capitalized costs over the useful life of an asset</w:t>
            </w:r>
            <w:r w:rsidR="00F5791B" w:rsidRPr="008573D8">
              <w:rPr>
                <w:rFonts w:ascii="Times New Roman" w:hAnsi="Times New Roman" w:cs="Times New Roman"/>
                <w:sz w:val="20"/>
                <w:szCs w:val="20"/>
              </w:rPr>
              <w:t xml:space="preserve"> to be expensed for this fiscal year in accordance with the government’s accounting policies</w:t>
            </w:r>
            <w:r w:rsidR="00986348" w:rsidRPr="008573D8">
              <w:rPr>
                <w:rFonts w:ascii="Times New Roman" w:hAnsi="Times New Roman" w:cs="Times New Roman"/>
                <w:sz w:val="20"/>
                <w:szCs w:val="20"/>
              </w:rPr>
              <w:t>.</w:t>
            </w:r>
          </w:p>
        </w:tc>
      </w:tr>
      <w:tr w:rsidR="00986348" w:rsidRPr="008573D8" w14:paraId="59234C50" w14:textId="77777777" w:rsidTr="001D72D8">
        <w:tc>
          <w:tcPr>
            <w:tcW w:w="1098" w:type="dxa"/>
            <w:shd w:val="clear" w:color="auto" w:fill="DDD9C3" w:themeFill="background2" w:themeFillShade="E6"/>
          </w:tcPr>
          <w:p w14:paraId="59234C4B" w14:textId="77777777" w:rsidR="00986348" w:rsidRPr="008573D8" w:rsidRDefault="00986348" w:rsidP="00C23E23">
            <w:pPr>
              <w:rPr>
                <w:rFonts w:ascii="Times New Roman" w:hAnsi="Times New Roman" w:cs="Times New Roman"/>
                <w:sz w:val="20"/>
                <w:szCs w:val="20"/>
              </w:rPr>
            </w:pPr>
          </w:p>
        </w:tc>
        <w:tc>
          <w:tcPr>
            <w:tcW w:w="1620" w:type="dxa"/>
            <w:shd w:val="clear" w:color="auto" w:fill="DDD9C3" w:themeFill="background2" w:themeFillShade="E6"/>
          </w:tcPr>
          <w:p w14:paraId="59234C4C" w14:textId="77777777" w:rsidR="00986348" w:rsidRPr="008573D8" w:rsidRDefault="00986348" w:rsidP="00C23E23">
            <w:pPr>
              <w:rPr>
                <w:rFonts w:ascii="Times New Roman" w:hAnsi="Times New Roman" w:cs="Times New Roman"/>
                <w:sz w:val="20"/>
                <w:szCs w:val="20"/>
              </w:rPr>
            </w:pPr>
          </w:p>
        </w:tc>
        <w:tc>
          <w:tcPr>
            <w:tcW w:w="1080" w:type="dxa"/>
            <w:shd w:val="clear" w:color="auto" w:fill="DDD9C3" w:themeFill="background2" w:themeFillShade="E6"/>
          </w:tcPr>
          <w:p w14:paraId="59234C4D"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59810</w:t>
            </w:r>
          </w:p>
        </w:tc>
        <w:tc>
          <w:tcPr>
            <w:tcW w:w="2160" w:type="dxa"/>
            <w:shd w:val="clear" w:color="auto" w:fill="DDD9C3" w:themeFill="background2" w:themeFillShade="E6"/>
          </w:tcPr>
          <w:p w14:paraId="59234C4E"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Other Operating Expenses</w:t>
            </w:r>
          </w:p>
        </w:tc>
        <w:tc>
          <w:tcPr>
            <w:tcW w:w="3780" w:type="dxa"/>
            <w:shd w:val="clear" w:color="auto" w:fill="DDD9C3" w:themeFill="background2" w:themeFillShade="E6"/>
          </w:tcPr>
          <w:p w14:paraId="59234C4F"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 xml:space="preserve">(Proprietary GAAP funds only)  This account should be used for miscellaneous operating expenses when there is no specific BARS expense account (e.g., adjustments to landfill closure/post closure </w:t>
            </w:r>
            <w:r w:rsidRPr="008573D8">
              <w:rPr>
                <w:rFonts w:ascii="Times New Roman" w:hAnsi="Times New Roman" w:cs="Times New Roman"/>
                <w:sz w:val="20"/>
                <w:szCs w:val="20"/>
              </w:rPr>
              <w:lastRenderedPageBreak/>
              <w:t>or pollution remediation liabilities, etc.).  Include amortization of any charges not specified in other accounts.</w:t>
            </w:r>
          </w:p>
        </w:tc>
      </w:tr>
      <w:tr w:rsidR="00986348" w:rsidRPr="008573D8" w14:paraId="59234C56" w14:textId="77777777" w:rsidTr="001D72D8">
        <w:tc>
          <w:tcPr>
            <w:tcW w:w="1098" w:type="dxa"/>
            <w:shd w:val="clear" w:color="auto" w:fill="DDD9C3" w:themeFill="background2" w:themeFillShade="E6"/>
          </w:tcPr>
          <w:p w14:paraId="59234C51" w14:textId="77777777" w:rsidR="00986348" w:rsidRPr="008573D8" w:rsidRDefault="00986348" w:rsidP="00C23E23">
            <w:pPr>
              <w:rPr>
                <w:rFonts w:ascii="Times New Roman" w:hAnsi="Times New Roman" w:cs="Times New Roman"/>
                <w:sz w:val="20"/>
                <w:szCs w:val="20"/>
              </w:rPr>
            </w:pPr>
          </w:p>
        </w:tc>
        <w:tc>
          <w:tcPr>
            <w:tcW w:w="1620" w:type="dxa"/>
            <w:shd w:val="clear" w:color="auto" w:fill="DDD9C3" w:themeFill="background2" w:themeFillShade="E6"/>
          </w:tcPr>
          <w:p w14:paraId="59234C52" w14:textId="77777777" w:rsidR="00986348" w:rsidRPr="008573D8" w:rsidRDefault="00986348" w:rsidP="00C23E23">
            <w:pPr>
              <w:rPr>
                <w:rFonts w:ascii="Times New Roman" w:hAnsi="Times New Roman" w:cs="Times New Roman"/>
                <w:sz w:val="20"/>
                <w:szCs w:val="20"/>
              </w:rPr>
            </w:pPr>
          </w:p>
        </w:tc>
        <w:tc>
          <w:tcPr>
            <w:tcW w:w="1080" w:type="dxa"/>
            <w:shd w:val="clear" w:color="auto" w:fill="DDD9C3" w:themeFill="background2" w:themeFillShade="E6"/>
          </w:tcPr>
          <w:p w14:paraId="59234C53"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59850</w:t>
            </w:r>
          </w:p>
        </w:tc>
        <w:tc>
          <w:tcPr>
            <w:tcW w:w="2160" w:type="dxa"/>
            <w:shd w:val="clear" w:color="auto" w:fill="DDD9C3" w:themeFill="background2" w:themeFillShade="E6"/>
          </w:tcPr>
          <w:p w14:paraId="59234C54"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Other Nonoperating Expenses</w:t>
            </w:r>
          </w:p>
        </w:tc>
        <w:tc>
          <w:tcPr>
            <w:tcW w:w="3780" w:type="dxa"/>
            <w:shd w:val="clear" w:color="auto" w:fill="DDD9C3" w:themeFill="background2" w:themeFillShade="E6"/>
          </w:tcPr>
          <w:p w14:paraId="59234C55"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(Proprietary GAAP funds only)  This account should be used for miscellaneous nonoperating expenses when there is no specific BARS expense account (e.g., adjustments to landfill closure/post closure or pollution remediation liabilities, etc.).  Include amortization of any charges not specified in other accounts.</w:t>
            </w:r>
          </w:p>
        </w:tc>
      </w:tr>
      <w:tr w:rsidR="00986348" w:rsidRPr="008573D8" w14:paraId="59234C5D" w14:textId="77777777" w:rsidTr="001D72D8">
        <w:tc>
          <w:tcPr>
            <w:tcW w:w="1098" w:type="dxa"/>
          </w:tcPr>
          <w:p w14:paraId="59234C57"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592PP80</w:t>
            </w:r>
          </w:p>
        </w:tc>
        <w:tc>
          <w:tcPr>
            <w:tcW w:w="1620" w:type="dxa"/>
          </w:tcPr>
          <w:p w14:paraId="59234C58"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Interest and Other Debt Service Cost</w:t>
            </w:r>
          </w:p>
        </w:tc>
        <w:tc>
          <w:tcPr>
            <w:tcW w:w="1080" w:type="dxa"/>
          </w:tcPr>
          <w:p w14:paraId="59234C59" w14:textId="77777777" w:rsidR="00986348" w:rsidRPr="008573D8" w:rsidRDefault="00986348" w:rsidP="00C23E23">
            <w:pPr>
              <w:rPr>
                <w:rFonts w:ascii="Times New Roman" w:hAnsi="Times New Roman" w:cs="Times New Roman"/>
                <w:sz w:val="20"/>
                <w:szCs w:val="20"/>
              </w:rPr>
            </w:pPr>
          </w:p>
        </w:tc>
        <w:tc>
          <w:tcPr>
            <w:tcW w:w="2160" w:type="dxa"/>
          </w:tcPr>
          <w:p w14:paraId="59234C5A" w14:textId="77777777" w:rsidR="00986348" w:rsidRPr="008573D8" w:rsidRDefault="00986348" w:rsidP="00C23E23">
            <w:pPr>
              <w:rPr>
                <w:rFonts w:ascii="Times New Roman" w:hAnsi="Times New Roman" w:cs="Times New Roman"/>
                <w:sz w:val="20"/>
                <w:szCs w:val="20"/>
              </w:rPr>
            </w:pPr>
          </w:p>
        </w:tc>
        <w:tc>
          <w:tcPr>
            <w:tcW w:w="3780" w:type="dxa"/>
          </w:tcPr>
          <w:p w14:paraId="59234C5B"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In</w:t>
            </w:r>
            <w:r w:rsidR="00512A15" w:rsidRPr="008573D8">
              <w:rPr>
                <w:rFonts w:ascii="Times New Roman" w:hAnsi="Times New Roman" w:cs="Times New Roman"/>
                <w:sz w:val="20"/>
                <w:szCs w:val="20"/>
              </w:rPr>
              <w:t>clude</w:t>
            </w:r>
            <w:r w:rsidRPr="008573D8">
              <w:rPr>
                <w:rFonts w:ascii="Times New Roman" w:hAnsi="Times New Roman" w:cs="Times New Roman"/>
                <w:sz w:val="20"/>
                <w:szCs w:val="20"/>
              </w:rPr>
              <w:t xml:space="preserve"> all interest due on any short or long-term type of borrowings – bonds, loans (including interfund – for principle payment on interfund loans use 5812000), debt to joint ventures and affiliates, LID assessments, intergovernmental, leases, overdue taxes (RCW 84.69.070), lines of credit and other debt.  Include debt issuance cost (e.g., accounting, legal, underwriting, registration fees, commissions, printing cost, etc.).</w:t>
            </w:r>
          </w:p>
          <w:p w14:paraId="59234C5C" w14:textId="77777777" w:rsidR="00986348" w:rsidRPr="008573D8" w:rsidRDefault="00986348" w:rsidP="00C23E23">
            <w:pPr>
              <w:rPr>
                <w:rFonts w:ascii="Times New Roman" w:hAnsi="Times New Roman" w:cs="Times New Roman"/>
                <w:sz w:val="20"/>
                <w:szCs w:val="20"/>
              </w:rPr>
            </w:pPr>
            <w:r w:rsidRPr="008573D8">
              <w:rPr>
                <w:rFonts w:ascii="Times New Roman" w:hAnsi="Times New Roman" w:cs="Times New Roman"/>
                <w:sz w:val="20"/>
                <w:szCs w:val="20"/>
              </w:rPr>
              <w:t>(</w:t>
            </w:r>
            <w:r w:rsidRPr="008573D8">
              <w:rPr>
                <w:rFonts w:ascii="Times New Roman" w:hAnsi="Times New Roman" w:cs="Times New Roman"/>
                <w:sz w:val="20"/>
                <w:szCs w:val="20"/>
                <w:shd w:val="clear" w:color="auto" w:fill="DDD9C3" w:themeFill="background2" w:themeFillShade="E6"/>
              </w:rPr>
              <w:t>Proprietary GAAP funds only)  Include amortization of premiums/discounts on long-term debt and amount of amortization of difference between carrying value of refunded debt and the net reacquisition price.</w:t>
            </w:r>
          </w:p>
        </w:tc>
      </w:tr>
    </w:tbl>
    <w:p w14:paraId="59234C5E" w14:textId="77777777" w:rsidR="00335C33" w:rsidRPr="008573D8" w:rsidRDefault="00335C33" w:rsidP="00335C33">
      <w:pPr>
        <w:spacing w:after="0" w:line="240" w:lineRule="auto"/>
        <w:jc w:val="both"/>
        <w:rPr>
          <w:rFonts w:ascii="Times New Roman" w:hAnsi="Times New Roman" w:cs="Times New Roman"/>
          <w:sz w:val="20"/>
          <w:szCs w:val="20"/>
        </w:rPr>
      </w:pPr>
    </w:p>
    <w:p w14:paraId="59234C5F" w14:textId="6C60F8A2" w:rsidR="001D72D8" w:rsidRPr="008573D8" w:rsidRDefault="000970AB" w:rsidP="001D72D8">
      <w:pPr>
        <w:spacing w:after="0" w:line="240" w:lineRule="auto"/>
        <w:jc w:val="both"/>
        <w:rPr>
          <w:rFonts w:ascii="Times New Roman" w:hAnsi="Times New Roman" w:cs="Times New Roman"/>
          <w:sz w:val="20"/>
          <w:szCs w:val="20"/>
        </w:rPr>
      </w:pPr>
      <w:r w:rsidRPr="008573D8">
        <w:rPr>
          <w:rFonts w:ascii="Times New Roman" w:hAnsi="Times New Roman" w:cs="Times New Roman"/>
          <w:sz w:val="20"/>
          <w:szCs w:val="20"/>
        </w:rPr>
        <w:t xml:space="preserve">The </w:t>
      </w:r>
      <w:r w:rsidR="001D72D8" w:rsidRPr="008573D8">
        <w:rPr>
          <w:rFonts w:ascii="Times New Roman" w:hAnsi="Times New Roman" w:cs="Times New Roman"/>
          <w:sz w:val="20"/>
          <w:szCs w:val="20"/>
          <w:u w:val="single"/>
        </w:rPr>
        <w:t>new</w:t>
      </w:r>
      <w:r w:rsidR="001D72D8" w:rsidRPr="008573D8">
        <w:rPr>
          <w:rFonts w:ascii="Times New Roman" w:hAnsi="Times New Roman" w:cs="Times New Roman"/>
          <w:sz w:val="20"/>
          <w:szCs w:val="20"/>
        </w:rPr>
        <w:t xml:space="preserve"> </w:t>
      </w:r>
      <w:r w:rsidRPr="008573D8">
        <w:rPr>
          <w:rFonts w:ascii="Times New Roman" w:hAnsi="Times New Roman" w:cs="Times New Roman"/>
          <w:sz w:val="20"/>
          <w:szCs w:val="20"/>
        </w:rPr>
        <w:t xml:space="preserve">codes listed below are needed to </w:t>
      </w:r>
      <w:r w:rsidR="00F5791B" w:rsidRPr="008573D8">
        <w:rPr>
          <w:rFonts w:ascii="Times New Roman" w:hAnsi="Times New Roman" w:cs="Times New Roman"/>
          <w:sz w:val="20"/>
          <w:szCs w:val="20"/>
        </w:rPr>
        <w:t xml:space="preserve">provide check figures and </w:t>
      </w:r>
      <w:r w:rsidRPr="008573D8">
        <w:rPr>
          <w:rFonts w:ascii="Times New Roman" w:hAnsi="Times New Roman" w:cs="Times New Roman"/>
          <w:sz w:val="20"/>
          <w:szCs w:val="20"/>
        </w:rPr>
        <w:t xml:space="preserve">accommodate the FIT </w:t>
      </w:r>
      <w:r w:rsidR="009E5709" w:rsidRPr="008573D8">
        <w:rPr>
          <w:rFonts w:ascii="Times New Roman" w:hAnsi="Times New Roman" w:cs="Times New Roman"/>
          <w:sz w:val="20"/>
          <w:szCs w:val="20"/>
        </w:rPr>
        <w:t>for GAAP reporting governments</w:t>
      </w:r>
      <w:r w:rsidRPr="008573D8">
        <w:rPr>
          <w:rFonts w:ascii="Times New Roman" w:hAnsi="Times New Roman" w:cs="Times New Roman"/>
          <w:sz w:val="20"/>
          <w:szCs w:val="20"/>
        </w:rPr>
        <w:t xml:space="preserve">.  These are memorandum accounts </w:t>
      </w:r>
      <w:r w:rsidR="00F5791B" w:rsidRPr="008573D8">
        <w:rPr>
          <w:rFonts w:ascii="Times New Roman" w:hAnsi="Times New Roman" w:cs="Times New Roman"/>
          <w:sz w:val="20"/>
          <w:szCs w:val="20"/>
        </w:rPr>
        <w:t>report</w:t>
      </w:r>
      <w:r w:rsidR="00D060C6" w:rsidRPr="008573D8">
        <w:rPr>
          <w:rFonts w:ascii="Times New Roman" w:hAnsi="Times New Roman" w:cs="Times New Roman"/>
          <w:sz w:val="20"/>
          <w:szCs w:val="20"/>
        </w:rPr>
        <w:t>ing</w:t>
      </w:r>
      <w:r w:rsidR="00F5791B" w:rsidRPr="008573D8">
        <w:rPr>
          <w:rFonts w:ascii="Times New Roman" w:hAnsi="Times New Roman" w:cs="Times New Roman"/>
          <w:sz w:val="20"/>
          <w:szCs w:val="20"/>
        </w:rPr>
        <w:t xml:space="preserve"> balance sheet totals</w:t>
      </w:r>
      <w:r w:rsidRPr="008573D8">
        <w:rPr>
          <w:rFonts w:ascii="Times New Roman" w:hAnsi="Times New Roman" w:cs="Times New Roman"/>
          <w:sz w:val="20"/>
          <w:szCs w:val="20"/>
        </w:rPr>
        <w:t xml:space="preserve"> from </w:t>
      </w:r>
      <w:r w:rsidR="00D060C6" w:rsidRPr="008573D8">
        <w:rPr>
          <w:rFonts w:ascii="Times New Roman" w:hAnsi="Times New Roman" w:cs="Times New Roman"/>
          <w:sz w:val="20"/>
          <w:szCs w:val="20"/>
        </w:rPr>
        <w:t>the</w:t>
      </w:r>
      <w:r w:rsidRPr="008573D8">
        <w:rPr>
          <w:rFonts w:ascii="Times New Roman" w:hAnsi="Times New Roman" w:cs="Times New Roman"/>
          <w:sz w:val="20"/>
          <w:szCs w:val="20"/>
        </w:rPr>
        <w:t xml:space="preserve"> general ledger</w:t>
      </w:r>
      <w:r w:rsidR="001D72D8" w:rsidRPr="008573D8">
        <w:rPr>
          <w:rFonts w:ascii="Times New Roman" w:hAnsi="Times New Roman" w:cs="Times New Roman"/>
          <w:sz w:val="20"/>
          <w:szCs w:val="20"/>
        </w:rPr>
        <w:t xml:space="preserve">. </w:t>
      </w:r>
      <w:r w:rsidR="00065E29" w:rsidRPr="008573D8">
        <w:rPr>
          <w:rFonts w:ascii="Times New Roman" w:hAnsi="Times New Roman" w:cs="Times New Roman"/>
          <w:sz w:val="20"/>
          <w:szCs w:val="20"/>
        </w:rPr>
        <w:t xml:space="preserve"> </w:t>
      </w:r>
      <w:r w:rsidR="009E5709" w:rsidRPr="008573D8">
        <w:rPr>
          <w:rFonts w:ascii="Times New Roman" w:hAnsi="Times New Roman" w:cs="Times New Roman"/>
          <w:sz w:val="20"/>
          <w:szCs w:val="20"/>
        </w:rPr>
        <w:t>Th</w:t>
      </w:r>
      <w:r w:rsidR="00065E29" w:rsidRPr="008573D8">
        <w:rPr>
          <w:rFonts w:ascii="Times New Roman" w:hAnsi="Times New Roman" w:cs="Times New Roman"/>
          <w:sz w:val="20"/>
          <w:szCs w:val="20"/>
        </w:rPr>
        <w:t xml:space="preserve">is information </w:t>
      </w:r>
      <w:r w:rsidR="009E5709" w:rsidRPr="008573D8">
        <w:rPr>
          <w:rFonts w:ascii="Times New Roman" w:hAnsi="Times New Roman" w:cs="Times New Roman"/>
          <w:sz w:val="20"/>
          <w:szCs w:val="20"/>
        </w:rPr>
        <w:t>will allow the FIT to provide financial indicators</w:t>
      </w:r>
      <w:r w:rsidR="00065E29" w:rsidRPr="008573D8">
        <w:rPr>
          <w:rFonts w:ascii="Times New Roman" w:hAnsi="Times New Roman" w:cs="Times New Roman"/>
          <w:sz w:val="20"/>
          <w:szCs w:val="20"/>
        </w:rPr>
        <w:t xml:space="preserve">, initially </w:t>
      </w:r>
      <w:r w:rsidR="009E5709" w:rsidRPr="008573D8">
        <w:rPr>
          <w:rFonts w:ascii="Times New Roman" w:hAnsi="Times New Roman" w:cs="Times New Roman"/>
          <w:sz w:val="20"/>
          <w:szCs w:val="20"/>
        </w:rPr>
        <w:t xml:space="preserve">for </w:t>
      </w:r>
      <w:r w:rsidR="00D060C6" w:rsidRPr="008573D8">
        <w:rPr>
          <w:rFonts w:ascii="Times New Roman" w:hAnsi="Times New Roman" w:cs="Times New Roman"/>
          <w:sz w:val="20"/>
          <w:szCs w:val="20"/>
        </w:rPr>
        <w:t xml:space="preserve">a government’s </w:t>
      </w:r>
      <w:r w:rsidR="00065E29" w:rsidRPr="008573D8">
        <w:rPr>
          <w:rFonts w:ascii="Times New Roman" w:hAnsi="Times New Roman" w:cs="Times New Roman"/>
          <w:sz w:val="20"/>
          <w:szCs w:val="20"/>
        </w:rPr>
        <w:t xml:space="preserve">internal </w:t>
      </w:r>
      <w:r w:rsidR="009E5709" w:rsidRPr="008573D8">
        <w:rPr>
          <w:rFonts w:ascii="Times New Roman" w:hAnsi="Times New Roman" w:cs="Times New Roman"/>
          <w:sz w:val="20"/>
          <w:szCs w:val="20"/>
        </w:rPr>
        <w:t>use and</w:t>
      </w:r>
      <w:r w:rsidR="00065E29" w:rsidRPr="008573D8">
        <w:rPr>
          <w:rFonts w:ascii="Times New Roman" w:hAnsi="Times New Roman" w:cs="Times New Roman"/>
          <w:sz w:val="20"/>
          <w:szCs w:val="20"/>
        </w:rPr>
        <w:t>, in the future,</w:t>
      </w:r>
      <w:r w:rsidR="009E5709" w:rsidRPr="008573D8">
        <w:rPr>
          <w:rFonts w:ascii="Times New Roman" w:hAnsi="Times New Roman" w:cs="Times New Roman"/>
          <w:sz w:val="20"/>
          <w:szCs w:val="20"/>
        </w:rPr>
        <w:t xml:space="preserve"> </w:t>
      </w:r>
      <w:r w:rsidR="00065E29" w:rsidRPr="008573D8">
        <w:rPr>
          <w:rFonts w:ascii="Times New Roman" w:hAnsi="Times New Roman" w:cs="Times New Roman"/>
          <w:sz w:val="20"/>
          <w:szCs w:val="20"/>
        </w:rPr>
        <w:t xml:space="preserve">for </w:t>
      </w:r>
      <w:r w:rsidR="009E5709" w:rsidRPr="008573D8">
        <w:rPr>
          <w:rFonts w:ascii="Times New Roman" w:hAnsi="Times New Roman" w:cs="Times New Roman"/>
          <w:sz w:val="20"/>
          <w:szCs w:val="20"/>
        </w:rPr>
        <w:t>external</w:t>
      </w:r>
      <w:r w:rsidR="00065E29" w:rsidRPr="008573D8">
        <w:rPr>
          <w:rFonts w:ascii="Times New Roman" w:hAnsi="Times New Roman" w:cs="Times New Roman"/>
          <w:sz w:val="20"/>
          <w:szCs w:val="20"/>
        </w:rPr>
        <w:t xml:space="preserve"> users</w:t>
      </w:r>
      <w:r w:rsidR="009E5709" w:rsidRPr="008573D8">
        <w:rPr>
          <w:rFonts w:ascii="Times New Roman" w:hAnsi="Times New Roman" w:cs="Times New Roman"/>
          <w:sz w:val="20"/>
          <w:szCs w:val="20"/>
        </w:rPr>
        <w:t>.</w:t>
      </w:r>
      <w:r w:rsidR="00F53D44" w:rsidRPr="008573D8">
        <w:rPr>
          <w:rFonts w:ascii="Times New Roman" w:hAnsi="Times New Roman" w:cs="Times New Roman"/>
          <w:sz w:val="20"/>
          <w:szCs w:val="20"/>
        </w:rPr>
        <w:t xml:space="preserve">  It will also allow </w:t>
      </w:r>
      <w:r w:rsidR="00F5791B" w:rsidRPr="008573D8">
        <w:rPr>
          <w:rFonts w:ascii="Times New Roman" w:hAnsi="Times New Roman" w:cs="Times New Roman"/>
          <w:sz w:val="20"/>
          <w:szCs w:val="20"/>
        </w:rPr>
        <w:t>reported data</w:t>
      </w:r>
      <w:r w:rsidR="00D60AB6" w:rsidRPr="008573D8">
        <w:rPr>
          <w:rFonts w:ascii="Times New Roman" w:hAnsi="Times New Roman" w:cs="Times New Roman"/>
          <w:sz w:val="20"/>
          <w:szCs w:val="20"/>
        </w:rPr>
        <w:t xml:space="preserve"> </w:t>
      </w:r>
      <w:r w:rsidR="00F53D44" w:rsidRPr="008573D8">
        <w:rPr>
          <w:rFonts w:ascii="Times New Roman" w:hAnsi="Times New Roman" w:cs="Times New Roman"/>
          <w:sz w:val="20"/>
          <w:szCs w:val="20"/>
        </w:rPr>
        <w:t>to reconcile to the financial statements.</w:t>
      </w:r>
    </w:p>
    <w:p w14:paraId="59234C60" w14:textId="77777777" w:rsidR="000970AB" w:rsidRPr="008573D8" w:rsidRDefault="000970AB" w:rsidP="00335C33">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728"/>
        <w:gridCol w:w="2160"/>
        <w:gridCol w:w="5688"/>
      </w:tblGrid>
      <w:tr w:rsidR="000970AB" w:rsidRPr="008573D8" w14:paraId="59234C64" w14:textId="77777777" w:rsidTr="000970AB">
        <w:tc>
          <w:tcPr>
            <w:tcW w:w="1728" w:type="dxa"/>
          </w:tcPr>
          <w:p w14:paraId="59234C61" w14:textId="77777777" w:rsidR="000970AB" w:rsidRPr="008573D8" w:rsidRDefault="000970AB" w:rsidP="000970AB">
            <w:pPr>
              <w:jc w:val="center"/>
              <w:rPr>
                <w:rFonts w:ascii="Times New Roman" w:hAnsi="Times New Roman" w:cs="Times New Roman"/>
                <w:b/>
                <w:sz w:val="20"/>
                <w:szCs w:val="20"/>
              </w:rPr>
            </w:pPr>
            <w:r w:rsidRPr="008573D8">
              <w:rPr>
                <w:rFonts w:ascii="Times New Roman" w:hAnsi="Times New Roman" w:cs="Times New Roman"/>
                <w:b/>
                <w:sz w:val="20"/>
                <w:szCs w:val="20"/>
              </w:rPr>
              <w:t>Account</w:t>
            </w:r>
          </w:p>
        </w:tc>
        <w:tc>
          <w:tcPr>
            <w:tcW w:w="2160" w:type="dxa"/>
          </w:tcPr>
          <w:p w14:paraId="59234C62" w14:textId="77777777" w:rsidR="000970AB" w:rsidRPr="008573D8" w:rsidRDefault="000970AB" w:rsidP="000970AB">
            <w:pPr>
              <w:jc w:val="center"/>
              <w:rPr>
                <w:rFonts w:ascii="Times New Roman" w:hAnsi="Times New Roman" w:cs="Times New Roman"/>
                <w:b/>
                <w:sz w:val="20"/>
                <w:szCs w:val="20"/>
              </w:rPr>
            </w:pPr>
            <w:r w:rsidRPr="008573D8">
              <w:rPr>
                <w:rFonts w:ascii="Times New Roman" w:hAnsi="Times New Roman" w:cs="Times New Roman"/>
                <w:b/>
                <w:sz w:val="20"/>
                <w:szCs w:val="20"/>
              </w:rPr>
              <w:t>Title</w:t>
            </w:r>
          </w:p>
        </w:tc>
        <w:tc>
          <w:tcPr>
            <w:tcW w:w="5688" w:type="dxa"/>
          </w:tcPr>
          <w:p w14:paraId="59234C63" w14:textId="77777777" w:rsidR="000970AB" w:rsidRPr="008573D8" w:rsidRDefault="000970AB" w:rsidP="000970AB">
            <w:pPr>
              <w:jc w:val="center"/>
              <w:rPr>
                <w:rFonts w:ascii="Times New Roman" w:hAnsi="Times New Roman" w:cs="Times New Roman"/>
                <w:b/>
                <w:sz w:val="20"/>
                <w:szCs w:val="20"/>
              </w:rPr>
            </w:pPr>
            <w:r w:rsidRPr="008573D8">
              <w:rPr>
                <w:rFonts w:ascii="Times New Roman" w:hAnsi="Times New Roman" w:cs="Times New Roman"/>
                <w:b/>
                <w:sz w:val="20"/>
                <w:szCs w:val="20"/>
              </w:rPr>
              <w:t>Description</w:t>
            </w:r>
          </w:p>
        </w:tc>
      </w:tr>
      <w:tr w:rsidR="001D72D8" w:rsidRPr="008573D8" w14:paraId="59234C68" w14:textId="77777777" w:rsidTr="000970AB">
        <w:tc>
          <w:tcPr>
            <w:tcW w:w="1728" w:type="dxa"/>
          </w:tcPr>
          <w:p w14:paraId="59234C65" w14:textId="77777777" w:rsidR="001D72D8" w:rsidRPr="008573D8" w:rsidRDefault="001D72D8" w:rsidP="00414B07">
            <w:pPr>
              <w:rPr>
                <w:rFonts w:ascii="Times New Roman" w:hAnsi="Times New Roman" w:cs="Times New Roman"/>
                <w:sz w:val="20"/>
                <w:szCs w:val="20"/>
              </w:rPr>
            </w:pPr>
            <w:r w:rsidRPr="008573D8">
              <w:rPr>
                <w:rFonts w:ascii="Times New Roman" w:hAnsi="Times New Roman" w:cs="Times New Roman"/>
                <w:sz w:val="20"/>
                <w:szCs w:val="20"/>
              </w:rPr>
              <w:t>8100000</w:t>
            </w:r>
          </w:p>
        </w:tc>
        <w:tc>
          <w:tcPr>
            <w:tcW w:w="2160" w:type="dxa"/>
          </w:tcPr>
          <w:p w14:paraId="59234C66"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Cash, Cash Equivalents and Investments</w:t>
            </w:r>
          </w:p>
        </w:tc>
        <w:tc>
          <w:tcPr>
            <w:tcW w:w="5688" w:type="dxa"/>
          </w:tcPr>
          <w:p w14:paraId="59234C67"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Include cash, cash equivalents, investments both unrestricted and restricted.</w:t>
            </w:r>
          </w:p>
        </w:tc>
      </w:tr>
      <w:tr w:rsidR="001D72D8" w:rsidRPr="008573D8" w14:paraId="59234C6C" w14:textId="77777777" w:rsidTr="000970AB">
        <w:tc>
          <w:tcPr>
            <w:tcW w:w="1728" w:type="dxa"/>
          </w:tcPr>
          <w:p w14:paraId="59234C69" w14:textId="77777777" w:rsidR="001D72D8" w:rsidRPr="008573D8" w:rsidRDefault="001D72D8" w:rsidP="00414B07">
            <w:pPr>
              <w:rPr>
                <w:rFonts w:ascii="Times New Roman" w:hAnsi="Times New Roman" w:cs="Times New Roman"/>
                <w:sz w:val="20"/>
                <w:szCs w:val="20"/>
              </w:rPr>
            </w:pPr>
            <w:r w:rsidRPr="008573D8">
              <w:rPr>
                <w:rFonts w:ascii="Times New Roman" w:hAnsi="Times New Roman" w:cs="Times New Roman"/>
                <w:sz w:val="20"/>
                <w:szCs w:val="20"/>
              </w:rPr>
              <w:t>8200000</w:t>
            </w:r>
          </w:p>
        </w:tc>
        <w:tc>
          <w:tcPr>
            <w:tcW w:w="2160" w:type="dxa"/>
          </w:tcPr>
          <w:p w14:paraId="59234C6A"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Other Current Assets</w:t>
            </w:r>
          </w:p>
        </w:tc>
        <w:tc>
          <w:tcPr>
            <w:tcW w:w="5688" w:type="dxa"/>
          </w:tcPr>
          <w:p w14:paraId="59234C6B"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Include all current assets except cash, cash equivalents and investments.</w:t>
            </w:r>
          </w:p>
        </w:tc>
      </w:tr>
      <w:tr w:rsidR="001D72D8" w:rsidRPr="008573D8" w14:paraId="59234C70" w14:textId="77777777" w:rsidTr="000970AB">
        <w:tc>
          <w:tcPr>
            <w:tcW w:w="1728" w:type="dxa"/>
          </w:tcPr>
          <w:p w14:paraId="59234C6D" w14:textId="77777777" w:rsidR="001D72D8" w:rsidRPr="008573D8" w:rsidRDefault="001D72D8" w:rsidP="00414B07">
            <w:pPr>
              <w:rPr>
                <w:rFonts w:ascii="Times New Roman" w:hAnsi="Times New Roman" w:cs="Times New Roman"/>
                <w:sz w:val="20"/>
                <w:szCs w:val="20"/>
              </w:rPr>
            </w:pPr>
            <w:r w:rsidRPr="008573D8">
              <w:rPr>
                <w:rFonts w:ascii="Times New Roman" w:hAnsi="Times New Roman" w:cs="Times New Roman"/>
                <w:sz w:val="20"/>
                <w:szCs w:val="20"/>
              </w:rPr>
              <w:t>8300000</w:t>
            </w:r>
          </w:p>
        </w:tc>
        <w:tc>
          <w:tcPr>
            <w:tcW w:w="2160" w:type="dxa"/>
          </w:tcPr>
          <w:p w14:paraId="59234C6E"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Other Noncurrent Assets</w:t>
            </w:r>
          </w:p>
        </w:tc>
        <w:tc>
          <w:tcPr>
            <w:tcW w:w="5688" w:type="dxa"/>
          </w:tcPr>
          <w:p w14:paraId="59234C6F"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Include all noncurrent assets.</w:t>
            </w:r>
          </w:p>
        </w:tc>
      </w:tr>
      <w:tr w:rsidR="001D72D8" w:rsidRPr="008573D8" w14:paraId="59234C74" w14:textId="77777777" w:rsidTr="000970AB">
        <w:tc>
          <w:tcPr>
            <w:tcW w:w="1728" w:type="dxa"/>
          </w:tcPr>
          <w:p w14:paraId="59234C71" w14:textId="77777777" w:rsidR="001D72D8" w:rsidRPr="008573D8" w:rsidRDefault="001D72D8" w:rsidP="00414B07">
            <w:pPr>
              <w:rPr>
                <w:rFonts w:ascii="Times New Roman" w:hAnsi="Times New Roman" w:cs="Times New Roman"/>
                <w:sz w:val="20"/>
                <w:szCs w:val="20"/>
              </w:rPr>
            </w:pPr>
            <w:r w:rsidRPr="008573D8">
              <w:rPr>
                <w:rFonts w:ascii="Times New Roman" w:hAnsi="Times New Roman" w:cs="Times New Roman"/>
                <w:sz w:val="20"/>
                <w:szCs w:val="20"/>
              </w:rPr>
              <w:t>8400000</w:t>
            </w:r>
          </w:p>
        </w:tc>
        <w:tc>
          <w:tcPr>
            <w:tcW w:w="2160" w:type="dxa"/>
          </w:tcPr>
          <w:p w14:paraId="59234C72"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Deferred Outflows</w:t>
            </w:r>
          </w:p>
        </w:tc>
        <w:tc>
          <w:tcPr>
            <w:tcW w:w="5688" w:type="dxa"/>
          </w:tcPr>
          <w:p w14:paraId="59234C73"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Include all deferred outflows.</w:t>
            </w:r>
          </w:p>
        </w:tc>
      </w:tr>
      <w:tr w:rsidR="001D72D8" w:rsidRPr="008573D8" w14:paraId="59234C78" w14:textId="77777777" w:rsidTr="000970AB">
        <w:tc>
          <w:tcPr>
            <w:tcW w:w="1728" w:type="dxa"/>
          </w:tcPr>
          <w:p w14:paraId="59234C75" w14:textId="77777777" w:rsidR="001D72D8" w:rsidRPr="008573D8" w:rsidRDefault="001D72D8" w:rsidP="00414B07">
            <w:pPr>
              <w:rPr>
                <w:rFonts w:ascii="Times New Roman" w:hAnsi="Times New Roman" w:cs="Times New Roman"/>
                <w:sz w:val="20"/>
                <w:szCs w:val="20"/>
              </w:rPr>
            </w:pPr>
            <w:r w:rsidRPr="008573D8">
              <w:rPr>
                <w:rFonts w:ascii="Times New Roman" w:hAnsi="Times New Roman" w:cs="Times New Roman"/>
                <w:sz w:val="20"/>
                <w:szCs w:val="20"/>
              </w:rPr>
              <w:t>8500000</w:t>
            </w:r>
          </w:p>
        </w:tc>
        <w:tc>
          <w:tcPr>
            <w:tcW w:w="2160" w:type="dxa"/>
          </w:tcPr>
          <w:p w14:paraId="59234C76"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Current Liabilities</w:t>
            </w:r>
          </w:p>
        </w:tc>
        <w:tc>
          <w:tcPr>
            <w:tcW w:w="5688" w:type="dxa"/>
          </w:tcPr>
          <w:p w14:paraId="59234C77"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Include all current liabilities.</w:t>
            </w:r>
          </w:p>
        </w:tc>
      </w:tr>
      <w:tr w:rsidR="001D72D8" w:rsidRPr="008573D8" w14:paraId="59234C7C" w14:textId="77777777" w:rsidTr="000970AB">
        <w:tc>
          <w:tcPr>
            <w:tcW w:w="1728" w:type="dxa"/>
          </w:tcPr>
          <w:p w14:paraId="59234C79" w14:textId="77777777" w:rsidR="001D72D8" w:rsidRPr="008573D8" w:rsidRDefault="001D72D8" w:rsidP="00414B07">
            <w:pPr>
              <w:rPr>
                <w:rFonts w:ascii="Times New Roman" w:hAnsi="Times New Roman" w:cs="Times New Roman"/>
                <w:sz w:val="20"/>
                <w:szCs w:val="20"/>
              </w:rPr>
            </w:pPr>
            <w:r w:rsidRPr="008573D8">
              <w:rPr>
                <w:rFonts w:ascii="Times New Roman" w:hAnsi="Times New Roman" w:cs="Times New Roman"/>
                <w:sz w:val="20"/>
                <w:szCs w:val="20"/>
              </w:rPr>
              <w:t>8600000</w:t>
            </w:r>
          </w:p>
        </w:tc>
        <w:tc>
          <w:tcPr>
            <w:tcW w:w="2160" w:type="dxa"/>
          </w:tcPr>
          <w:p w14:paraId="59234C7A"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Noncurrent Liabilities</w:t>
            </w:r>
          </w:p>
        </w:tc>
        <w:tc>
          <w:tcPr>
            <w:tcW w:w="5688" w:type="dxa"/>
          </w:tcPr>
          <w:p w14:paraId="59234C7B"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Include all noncurrent liabilities.</w:t>
            </w:r>
          </w:p>
        </w:tc>
      </w:tr>
      <w:tr w:rsidR="001D72D8" w:rsidRPr="008573D8" w14:paraId="59234C80" w14:textId="77777777" w:rsidTr="000970AB">
        <w:tc>
          <w:tcPr>
            <w:tcW w:w="1728" w:type="dxa"/>
          </w:tcPr>
          <w:p w14:paraId="59234C7D" w14:textId="77777777" w:rsidR="001D72D8" w:rsidRPr="008573D8" w:rsidRDefault="001D72D8" w:rsidP="00414B07">
            <w:pPr>
              <w:rPr>
                <w:rFonts w:ascii="Times New Roman" w:hAnsi="Times New Roman" w:cs="Times New Roman"/>
                <w:sz w:val="20"/>
                <w:szCs w:val="20"/>
              </w:rPr>
            </w:pPr>
            <w:r w:rsidRPr="008573D8">
              <w:rPr>
                <w:rFonts w:ascii="Times New Roman" w:hAnsi="Times New Roman" w:cs="Times New Roman"/>
                <w:sz w:val="20"/>
                <w:szCs w:val="20"/>
              </w:rPr>
              <w:t>8700000</w:t>
            </w:r>
          </w:p>
        </w:tc>
        <w:tc>
          <w:tcPr>
            <w:tcW w:w="2160" w:type="dxa"/>
          </w:tcPr>
          <w:p w14:paraId="59234C7E"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Deferred Inflows</w:t>
            </w:r>
          </w:p>
        </w:tc>
        <w:tc>
          <w:tcPr>
            <w:tcW w:w="5688" w:type="dxa"/>
          </w:tcPr>
          <w:p w14:paraId="59234C7F"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Include all deferred inflows.</w:t>
            </w:r>
          </w:p>
        </w:tc>
      </w:tr>
      <w:tr w:rsidR="001D72D8" w:rsidRPr="008573D8" w14:paraId="59234C85" w14:textId="77777777" w:rsidTr="000970AB">
        <w:tc>
          <w:tcPr>
            <w:tcW w:w="1728" w:type="dxa"/>
          </w:tcPr>
          <w:p w14:paraId="59234C81" w14:textId="77777777" w:rsidR="001D72D8" w:rsidRPr="008573D8" w:rsidRDefault="001D72D8" w:rsidP="00414B07">
            <w:pPr>
              <w:rPr>
                <w:rFonts w:ascii="Times New Roman" w:hAnsi="Times New Roman" w:cs="Times New Roman"/>
                <w:sz w:val="20"/>
                <w:szCs w:val="20"/>
              </w:rPr>
            </w:pPr>
            <w:r w:rsidRPr="008573D8">
              <w:rPr>
                <w:rFonts w:ascii="Times New Roman" w:hAnsi="Times New Roman" w:cs="Times New Roman"/>
                <w:sz w:val="20"/>
                <w:szCs w:val="20"/>
              </w:rPr>
              <w:t>3086000</w:t>
            </w:r>
          </w:p>
          <w:p w14:paraId="59234C82" w14:textId="77777777" w:rsidR="001D72D8" w:rsidRPr="008573D8" w:rsidRDefault="001D72D8" w:rsidP="00414B07">
            <w:pPr>
              <w:rPr>
                <w:rFonts w:ascii="Times New Roman" w:hAnsi="Times New Roman" w:cs="Times New Roman"/>
                <w:sz w:val="20"/>
                <w:szCs w:val="20"/>
              </w:rPr>
            </w:pPr>
            <w:r w:rsidRPr="008573D8">
              <w:rPr>
                <w:rFonts w:ascii="Times New Roman" w:hAnsi="Times New Roman" w:cs="Times New Roman"/>
                <w:sz w:val="20"/>
                <w:szCs w:val="20"/>
              </w:rPr>
              <w:t>5086000</w:t>
            </w:r>
          </w:p>
        </w:tc>
        <w:tc>
          <w:tcPr>
            <w:tcW w:w="2160" w:type="dxa"/>
          </w:tcPr>
          <w:p w14:paraId="59234C83"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Net Investment in Capital Assets</w:t>
            </w:r>
          </w:p>
        </w:tc>
        <w:tc>
          <w:tcPr>
            <w:tcW w:w="5688" w:type="dxa"/>
          </w:tcPr>
          <w:p w14:paraId="59234C84" w14:textId="77777777" w:rsidR="001D72D8" w:rsidRPr="008573D8" w:rsidRDefault="001D72D8" w:rsidP="00F13074">
            <w:pPr>
              <w:rPr>
                <w:rFonts w:ascii="Times New Roman" w:hAnsi="Times New Roman" w:cs="Times New Roman"/>
                <w:sz w:val="20"/>
                <w:szCs w:val="20"/>
              </w:rPr>
            </w:pPr>
            <w:r w:rsidRPr="008573D8">
              <w:rPr>
                <w:rFonts w:ascii="Times New Roman" w:hAnsi="Times New Roman" w:cs="Times New Roman"/>
                <w:sz w:val="20"/>
                <w:szCs w:val="20"/>
              </w:rPr>
              <w:t>(Proprietary GAAP funds only)  The component of the difference between assets, deferred outflows and liabilities, deferred inflows that consists of capital assets less both accumulated depreciation and the outstanding balance of debt (e.g., bonds, mortgages, notes, etc.) that is directly attributable to the acquisition, construction, or improvement of those assets.</w:t>
            </w:r>
          </w:p>
        </w:tc>
      </w:tr>
    </w:tbl>
    <w:p w14:paraId="40AD6103" w14:textId="77777777" w:rsidR="008573D8" w:rsidRDefault="008573D8" w:rsidP="00414B07">
      <w:pPr>
        <w:spacing w:after="0" w:line="240" w:lineRule="auto"/>
        <w:rPr>
          <w:rFonts w:ascii="Times New Roman" w:hAnsi="Times New Roman" w:cs="Times New Roman"/>
          <w:sz w:val="20"/>
          <w:szCs w:val="20"/>
        </w:rPr>
      </w:pPr>
    </w:p>
    <w:p w14:paraId="305A46DB" w14:textId="77777777" w:rsidR="006248E3" w:rsidRDefault="006248E3" w:rsidP="006248E3">
      <w:pPr>
        <w:spacing w:after="0" w:line="240" w:lineRule="auto"/>
        <w:jc w:val="both"/>
        <w:rPr>
          <w:rFonts w:ascii="Times New Roman" w:hAnsi="Times New Roman"/>
          <w:color w:val="1D1D1D"/>
          <w:sz w:val="20"/>
          <w:szCs w:val="20"/>
        </w:rPr>
      </w:pPr>
      <w:r w:rsidRPr="00194805">
        <w:rPr>
          <w:rFonts w:ascii="Times New Roman" w:hAnsi="Times New Roman"/>
          <w:color w:val="1D1D1D"/>
          <w:sz w:val="20"/>
          <w:szCs w:val="20"/>
        </w:rPr>
        <w:t xml:space="preserve">Although </w:t>
      </w:r>
      <w:r>
        <w:rPr>
          <w:rFonts w:ascii="Times New Roman" w:hAnsi="Times New Roman"/>
          <w:color w:val="1D1D1D"/>
          <w:sz w:val="20"/>
          <w:szCs w:val="20"/>
        </w:rPr>
        <w:t>the State law</w:t>
      </w:r>
      <w:r w:rsidRPr="00194805">
        <w:rPr>
          <w:rFonts w:ascii="Times New Roman" w:hAnsi="Times New Roman"/>
          <w:color w:val="1D1D1D"/>
          <w:sz w:val="20"/>
          <w:szCs w:val="20"/>
        </w:rPr>
        <w:t xml:space="preserve"> require</w:t>
      </w:r>
      <w:r>
        <w:rPr>
          <w:rFonts w:ascii="Times New Roman" w:hAnsi="Times New Roman"/>
          <w:color w:val="1D1D1D"/>
          <w:sz w:val="20"/>
          <w:szCs w:val="20"/>
        </w:rPr>
        <w:t xml:space="preserve">s </w:t>
      </w:r>
      <w:r w:rsidRPr="00592B5A">
        <w:rPr>
          <w:rFonts w:ascii="Times New Roman" w:hAnsi="Times New Roman"/>
          <w:color w:val="1D1D1D"/>
          <w:sz w:val="20"/>
          <w:szCs w:val="20"/>
          <w:u w:val="single"/>
        </w:rPr>
        <w:t>all</w:t>
      </w:r>
      <w:r w:rsidRPr="00194805">
        <w:rPr>
          <w:rFonts w:ascii="Times New Roman" w:hAnsi="Times New Roman"/>
          <w:color w:val="1D1D1D"/>
          <w:sz w:val="20"/>
          <w:szCs w:val="20"/>
        </w:rPr>
        <w:t xml:space="preserve"> local governments in Washington State to file annual financial reports</w:t>
      </w:r>
      <w:r>
        <w:rPr>
          <w:rFonts w:ascii="Times New Roman" w:hAnsi="Times New Roman"/>
          <w:color w:val="1D1D1D"/>
          <w:sz w:val="20"/>
          <w:szCs w:val="20"/>
        </w:rPr>
        <w:t xml:space="preserve"> including the detailed revenue/expense information (Schedule 01)</w:t>
      </w:r>
      <w:r w:rsidRPr="00194805">
        <w:rPr>
          <w:rFonts w:ascii="Times New Roman" w:hAnsi="Times New Roman"/>
          <w:color w:val="1D1D1D"/>
          <w:sz w:val="20"/>
          <w:szCs w:val="20"/>
        </w:rPr>
        <w:t xml:space="preserve"> with the State Auditor's Office</w:t>
      </w:r>
      <w:r>
        <w:rPr>
          <w:rFonts w:ascii="Times New Roman" w:hAnsi="Times New Roman"/>
          <w:color w:val="1D1D1D"/>
          <w:sz w:val="20"/>
          <w:szCs w:val="20"/>
        </w:rPr>
        <w:t xml:space="preserve">, the </w:t>
      </w:r>
      <w:r w:rsidRPr="00AE3CAC">
        <w:rPr>
          <w:rFonts w:ascii="Times New Roman" w:hAnsi="Times New Roman"/>
          <w:color w:val="1D1D1D"/>
          <w:sz w:val="20"/>
          <w:szCs w:val="20"/>
          <w:u w:val="single"/>
        </w:rPr>
        <w:t>housing authorities</w:t>
      </w:r>
      <w:r>
        <w:rPr>
          <w:rFonts w:ascii="Times New Roman" w:hAnsi="Times New Roman"/>
          <w:color w:val="1D1D1D"/>
          <w:sz w:val="20"/>
          <w:szCs w:val="20"/>
        </w:rPr>
        <w:t xml:space="preserve"> and </w:t>
      </w:r>
      <w:r w:rsidRPr="00AE3CAC">
        <w:rPr>
          <w:rFonts w:ascii="Times New Roman" w:hAnsi="Times New Roman"/>
          <w:color w:val="1D1D1D"/>
          <w:sz w:val="20"/>
          <w:szCs w:val="20"/>
          <w:u w:val="single"/>
        </w:rPr>
        <w:lastRenderedPageBreak/>
        <w:t>public entity risk pools</w:t>
      </w:r>
      <w:r>
        <w:rPr>
          <w:rFonts w:ascii="Times New Roman" w:hAnsi="Times New Roman"/>
          <w:color w:val="1D1D1D"/>
          <w:sz w:val="20"/>
          <w:szCs w:val="20"/>
        </w:rPr>
        <w:t xml:space="preserve"> had not been obligated to submit Schedule 01 with their annual report.  Starting with </w:t>
      </w:r>
      <w:r w:rsidRPr="00297AA6">
        <w:rPr>
          <w:rFonts w:ascii="Times New Roman" w:hAnsi="Times New Roman"/>
          <w:color w:val="1D1D1D"/>
          <w:sz w:val="20"/>
          <w:szCs w:val="20"/>
        </w:rPr>
        <w:t>fiscal year 2015, the Schedule 01 will be required for both of these government types.</w:t>
      </w:r>
    </w:p>
    <w:p w14:paraId="34EAD781" w14:textId="77777777" w:rsidR="006248E3" w:rsidRDefault="006248E3" w:rsidP="00414B07">
      <w:pPr>
        <w:spacing w:after="0" w:line="240" w:lineRule="auto"/>
        <w:rPr>
          <w:rFonts w:ascii="Times New Roman" w:hAnsi="Times New Roman" w:cs="Times New Roman"/>
          <w:sz w:val="20"/>
          <w:szCs w:val="20"/>
        </w:rPr>
      </w:pPr>
    </w:p>
    <w:p w14:paraId="68242F07" w14:textId="397EA37F" w:rsidR="008573D8" w:rsidRPr="008573D8" w:rsidRDefault="006248E3">
      <w:pPr>
        <w:spacing w:after="0" w:line="240" w:lineRule="auto"/>
        <w:rPr>
          <w:rFonts w:ascii="Times New Roman" w:hAnsi="Times New Roman" w:cs="Times New Roman"/>
          <w:sz w:val="20"/>
          <w:szCs w:val="20"/>
        </w:rPr>
      </w:pPr>
      <w:r w:rsidRPr="00297AA6">
        <w:rPr>
          <w:rFonts w:ascii="Times New Roman" w:hAnsi="Times New Roman" w:cs="Times New Roman"/>
          <w:sz w:val="20"/>
          <w:szCs w:val="20"/>
        </w:rPr>
        <w:t xml:space="preserve">We want to assure you that SAO is ready and willing to help with the implementation of these changes.  We are available to work one-on-one with entities as you work through these updates.  Should you have any question or need assistance with implementation, please contact </w:t>
      </w:r>
      <w:hyperlink r:id="rId9" w:history="1">
        <w:r w:rsidRPr="00CF0759">
          <w:rPr>
            <w:rStyle w:val="Hyperlink"/>
            <w:rFonts w:ascii="Times New Roman" w:hAnsi="Times New Roman" w:cs="Times New Roman"/>
            <w:sz w:val="20"/>
            <w:szCs w:val="20"/>
          </w:rPr>
          <w:t>alexandra.johnson@sao.wa.gov</w:t>
        </w:r>
      </w:hyperlink>
      <w:r w:rsidRPr="00297AA6">
        <w:rPr>
          <w:rFonts w:ascii="Times New Roman" w:hAnsi="Times New Roman" w:cs="Times New Roman"/>
          <w:sz w:val="20"/>
          <w:szCs w:val="20"/>
        </w:rPr>
        <w:t>.</w:t>
      </w:r>
      <w:r>
        <w:rPr>
          <w:rFonts w:ascii="Times New Roman" w:hAnsi="Times New Roman" w:cs="Times New Roman"/>
          <w:sz w:val="20"/>
          <w:szCs w:val="20"/>
        </w:rPr>
        <w:t xml:space="preserve"> </w:t>
      </w:r>
    </w:p>
    <w:sectPr w:rsidR="008573D8" w:rsidRPr="0085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A0A0E"/>
    <w:multiLevelType w:val="hybridMultilevel"/>
    <w:tmpl w:val="A2E82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07"/>
    <w:rsid w:val="00065E29"/>
    <w:rsid w:val="000970AB"/>
    <w:rsid w:val="00115FDB"/>
    <w:rsid w:val="001237E4"/>
    <w:rsid w:val="001D72D8"/>
    <w:rsid w:val="00335C33"/>
    <w:rsid w:val="00414B07"/>
    <w:rsid w:val="00512A15"/>
    <w:rsid w:val="006248E3"/>
    <w:rsid w:val="006C0AC0"/>
    <w:rsid w:val="00727E19"/>
    <w:rsid w:val="007E7007"/>
    <w:rsid w:val="00840242"/>
    <w:rsid w:val="008461AE"/>
    <w:rsid w:val="008573D8"/>
    <w:rsid w:val="008E427C"/>
    <w:rsid w:val="00902F93"/>
    <w:rsid w:val="0092220E"/>
    <w:rsid w:val="00986348"/>
    <w:rsid w:val="009E5709"/>
    <w:rsid w:val="00A44DDA"/>
    <w:rsid w:val="00B62E0D"/>
    <w:rsid w:val="00C04A84"/>
    <w:rsid w:val="00D060C6"/>
    <w:rsid w:val="00D33E7C"/>
    <w:rsid w:val="00D60AB6"/>
    <w:rsid w:val="00D8603D"/>
    <w:rsid w:val="00F53D44"/>
    <w:rsid w:val="00F5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2D8"/>
    <w:rPr>
      <w:color w:val="0000FF" w:themeColor="hyperlink"/>
      <w:u w:val="single"/>
    </w:rPr>
  </w:style>
  <w:style w:type="paragraph" w:styleId="BalloonText">
    <w:name w:val="Balloon Text"/>
    <w:basedOn w:val="Normal"/>
    <w:link w:val="BalloonTextChar"/>
    <w:uiPriority w:val="99"/>
    <w:semiHidden/>
    <w:unhideWhenUsed/>
    <w:rsid w:val="0084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1AE"/>
    <w:rPr>
      <w:rFonts w:ascii="Tahoma" w:hAnsi="Tahoma" w:cs="Tahoma"/>
      <w:sz w:val="16"/>
      <w:szCs w:val="16"/>
    </w:rPr>
  </w:style>
  <w:style w:type="paragraph" w:styleId="ListParagraph">
    <w:name w:val="List Paragraph"/>
    <w:basedOn w:val="Normal"/>
    <w:uiPriority w:val="34"/>
    <w:qFormat/>
    <w:rsid w:val="008461AE"/>
    <w:pPr>
      <w:ind w:left="720"/>
      <w:contextualSpacing/>
    </w:pPr>
  </w:style>
  <w:style w:type="character" w:styleId="CommentReference">
    <w:name w:val="annotation reference"/>
    <w:basedOn w:val="DefaultParagraphFont"/>
    <w:uiPriority w:val="99"/>
    <w:semiHidden/>
    <w:unhideWhenUsed/>
    <w:rsid w:val="00D8603D"/>
    <w:rPr>
      <w:sz w:val="16"/>
      <w:szCs w:val="16"/>
    </w:rPr>
  </w:style>
  <w:style w:type="paragraph" w:styleId="CommentText">
    <w:name w:val="annotation text"/>
    <w:basedOn w:val="Normal"/>
    <w:link w:val="CommentTextChar"/>
    <w:uiPriority w:val="99"/>
    <w:semiHidden/>
    <w:unhideWhenUsed/>
    <w:rsid w:val="00D8603D"/>
    <w:pPr>
      <w:spacing w:line="240" w:lineRule="auto"/>
    </w:pPr>
    <w:rPr>
      <w:sz w:val="20"/>
      <w:szCs w:val="20"/>
    </w:rPr>
  </w:style>
  <w:style w:type="character" w:customStyle="1" w:styleId="CommentTextChar">
    <w:name w:val="Comment Text Char"/>
    <w:basedOn w:val="DefaultParagraphFont"/>
    <w:link w:val="CommentText"/>
    <w:uiPriority w:val="99"/>
    <w:semiHidden/>
    <w:rsid w:val="00D8603D"/>
    <w:rPr>
      <w:sz w:val="20"/>
      <w:szCs w:val="20"/>
    </w:rPr>
  </w:style>
  <w:style w:type="paragraph" w:styleId="CommentSubject">
    <w:name w:val="annotation subject"/>
    <w:basedOn w:val="CommentText"/>
    <w:next w:val="CommentText"/>
    <w:link w:val="CommentSubjectChar"/>
    <w:uiPriority w:val="99"/>
    <w:semiHidden/>
    <w:unhideWhenUsed/>
    <w:rsid w:val="00D8603D"/>
    <w:rPr>
      <w:b/>
      <w:bCs/>
    </w:rPr>
  </w:style>
  <w:style w:type="character" w:customStyle="1" w:styleId="CommentSubjectChar">
    <w:name w:val="Comment Subject Char"/>
    <w:basedOn w:val="CommentTextChar"/>
    <w:link w:val="CommentSubject"/>
    <w:uiPriority w:val="99"/>
    <w:semiHidden/>
    <w:rsid w:val="00D860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2D8"/>
    <w:rPr>
      <w:color w:val="0000FF" w:themeColor="hyperlink"/>
      <w:u w:val="single"/>
    </w:rPr>
  </w:style>
  <w:style w:type="paragraph" w:styleId="BalloonText">
    <w:name w:val="Balloon Text"/>
    <w:basedOn w:val="Normal"/>
    <w:link w:val="BalloonTextChar"/>
    <w:uiPriority w:val="99"/>
    <w:semiHidden/>
    <w:unhideWhenUsed/>
    <w:rsid w:val="0084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1AE"/>
    <w:rPr>
      <w:rFonts w:ascii="Tahoma" w:hAnsi="Tahoma" w:cs="Tahoma"/>
      <w:sz w:val="16"/>
      <w:szCs w:val="16"/>
    </w:rPr>
  </w:style>
  <w:style w:type="paragraph" w:styleId="ListParagraph">
    <w:name w:val="List Paragraph"/>
    <w:basedOn w:val="Normal"/>
    <w:uiPriority w:val="34"/>
    <w:qFormat/>
    <w:rsid w:val="008461AE"/>
    <w:pPr>
      <w:ind w:left="720"/>
      <w:contextualSpacing/>
    </w:pPr>
  </w:style>
  <w:style w:type="character" w:styleId="CommentReference">
    <w:name w:val="annotation reference"/>
    <w:basedOn w:val="DefaultParagraphFont"/>
    <w:uiPriority w:val="99"/>
    <w:semiHidden/>
    <w:unhideWhenUsed/>
    <w:rsid w:val="00D8603D"/>
    <w:rPr>
      <w:sz w:val="16"/>
      <w:szCs w:val="16"/>
    </w:rPr>
  </w:style>
  <w:style w:type="paragraph" w:styleId="CommentText">
    <w:name w:val="annotation text"/>
    <w:basedOn w:val="Normal"/>
    <w:link w:val="CommentTextChar"/>
    <w:uiPriority w:val="99"/>
    <w:semiHidden/>
    <w:unhideWhenUsed/>
    <w:rsid w:val="00D8603D"/>
    <w:pPr>
      <w:spacing w:line="240" w:lineRule="auto"/>
    </w:pPr>
    <w:rPr>
      <w:sz w:val="20"/>
      <w:szCs w:val="20"/>
    </w:rPr>
  </w:style>
  <w:style w:type="character" w:customStyle="1" w:styleId="CommentTextChar">
    <w:name w:val="Comment Text Char"/>
    <w:basedOn w:val="DefaultParagraphFont"/>
    <w:link w:val="CommentText"/>
    <w:uiPriority w:val="99"/>
    <w:semiHidden/>
    <w:rsid w:val="00D8603D"/>
    <w:rPr>
      <w:sz w:val="20"/>
      <w:szCs w:val="20"/>
    </w:rPr>
  </w:style>
  <w:style w:type="paragraph" w:styleId="CommentSubject">
    <w:name w:val="annotation subject"/>
    <w:basedOn w:val="CommentText"/>
    <w:next w:val="CommentText"/>
    <w:link w:val="CommentSubjectChar"/>
    <w:uiPriority w:val="99"/>
    <w:semiHidden/>
    <w:unhideWhenUsed/>
    <w:rsid w:val="00D8603D"/>
    <w:rPr>
      <w:b/>
      <w:bCs/>
    </w:rPr>
  </w:style>
  <w:style w:type="character" w:customStyle="1" w:styleId="CommentSubjectChar">
    <w:name w:val="Comment Subject Char"/>
    <w:basedOn w:val="CommentTextChar"/>
    <w:link w:val="CommentSubject"/>
    <w:uiPriority w:val="99"/>
    <w:semiHidden/>
    <w:rsid w:val="00D86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exandra.johnson@sa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A4264FA40894E8281505469D6B261" ma:contentTypeVersion="1" ma:contentTypeDescription="Create a new document." ma:contentTypeScope="" ma:versionID="f56ceba22e7aa39d648cccc42b1e925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51CBE-A1E9-4669-8C16-50A94D5F9701}"/>
</file>

<file path=customXml/itemProps2.xml><?xml version="1.0" encoding="utf-8"?>
<ds:datastoreItem xmlns:ds="http://schemas.openxmlformats.org/officeDocument/2006/customXml" ds:itemID="{7879C41B-53E3-4EB4-8AD6-BB50A768C236}"/>
</file>

<file path=customXml/itemProps3.xml><?xml version="1.0" encoding="utf-8"?>
<ds:datastoreItem xmlns:ds="http://schemas.openxmlformats.org/officeDocument/2006/customXml" ds:itemID="{DDC97802-0C38-428C-8F47-13D2D0BFF80D}"/>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Auditor</dc:creator>
  <cp:lastModifiedBy>Walter, Heidi (SAO)</cp:lastModifiedBy>
  <cp:revision>2</cp:revision>
  <cp:lastPrinted>2015-07-14T16:42:00Z</cp:lastPrinted>
  <dcterms:created xsi:type="dcterms:W3CDTF">2015-11-03T17:26:00Z</dcterms:created>
  <dcterms:modified xsi:type="dcterms:W3CDTF">2015-11-03T17:26:00Z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0x0101003C4A4264FA40894E8281505469D6B261</vt:lpwstr>
  </property>
</Properties>
</file>